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B11D" w14:textId="6E23BC9C" w:rsidR="002D692F" w:rsidRPr="002D692F" w:rsidRDefault="002D692F" w:rsidP="00C365E4">
      <w:pPr>
        <w:spacing w:after="0" w:line="280" w:lineRule="atLeast"/>
        <w:rPr>
          <w:rFonts w:ascii="Lub Dub Medium" w:eastAsia="Times New Roman" w:hAnsi="Lub Dub Medium" w:cs="Segoe UI"/>
          <w:b/>
          <w:bCs/>
          <w:color w:val="336699"/>
          <w:sz w:val="20"/>
          <w:szCs w:val="20"/>
          <w:lang w:val="en"/>
        </w:rPr>
      </w:pPr>
      <w:r w:rsidRPr="002D692F">
        <w:rPr>
          <w:rFonts w:ascii="Lub Dub Medium" w:eastAsia="Arial" w:hAnsi="Lub Dub Medium" w:cs="Arial"/>
          <w:b/>
          <w:noProof/>
          <w:sz w:val="20"/>
          <w:szCs w:val="20"/>
        </w:rPr>
        <w:drawing>
          <wp:anchor distT="0" distB="0" distL="114300" distR="114300" simplePos="0" relativeHeight="251658240" behindDoc="0" locked="0" layoutInCell="1" allowOverlap="1" wp14:anchorId="6A16AAFC" wp14:editId="14692E8F">
            <wp:simplePos x="0" y="0"/>
            <wp:positionH relativeFrom="margin">
              <wp:posOffset>30480</wp:posOffset>
            </wp:positionH>
            <wp:positionV relativeFrom="paragraph">
              <wp:posOffset>-561975</wp:posOffset>
            </wp:positionV>
            <wp:extent cx="3718560" cy="868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EPIL_LOGO_RGB-HEX_r+k-sm.jpg"/>
                    <pic:cNvPicPr/>
                  </pic:nvPicPr>
                  <pic:blipFill>
                    <a:blip r:embed="rId4">
                      <a:extLst>
                        <a:ext uri="{28A0092B-C50C-407E-A947-70E740481C1C}">
                          <a14:useLocalDpi xmlns:a14="http://schemas.microsoft.com/office/drawing/2010/main" val="0"/>
                        </a:ext>
                      </a:extLst>
                    </a:blip>
                    <a:stretch>
                      <a:fillRect/>
                    </a:stretch>
                  </pic:blipFill>
                  <pic:spPr>
                    <a:xfrm>
                      <a:off x="0" y="0"/>
                      <a:ext cx="3718560" cy="868680"/>
                    </a:xfrm>
                    <a:prstGeom prst="rect">
                      <a:avLst/>
                    </a:prstGeom>
                  </pic:spPr>
                </pic:pic>
              </a:graphicData>
            </a:graphic>
          </wp:anchor>
        </w:drawing>
      </w:r>
    </w:p>
    <w:p w14:paraId="7CAB28B0" w14:textId="77777777" w:rsidR="002D692F" w:rsidRPr="002D692F" w:rsidRDefault="002D692F" w:rsidP="002D692F">
      <w:pPr>
        <w:spacing w:after="0" w:line="240" w:lineRule="auto"/>
        <w:rPr>
          <w:rFonts w:ascii="Lub Dub Medium" w:hAnsi="Lub Dub Medium"/>
          <w:b/>
          <w:sz w:val="20"/>
          <w:szCs w:val="20"/>
        </w:rPr>
      </w:pPr>
    </w:p>
    <w:p w14:paraId="683CB6CE" w14:textId="77777777" w:rsidR="002D692F" w:rsidRPr="002D692F" w:rsidRDefault="002D692F" w:rsidP="002D692F">
      <w:pPr>
        <w:spacing w:after="0" w:line="240" w:lineRule="auto"/>
        <w:rPr>
          <w:rFonts w:ascii="Lub Dub Medium" w:hAnsi="Lub Dub Medium"/>
          <w:b/>
          <w:sz w:val="20"/>
          <w:szCs w:val="20"/>
        </w:rPr>
      </w:pPr>
    </w:p>
    <w:p w14:paraId="743FA2F6" w14:textId="4D44ECC9" w:rsidR="002D692F" w:rsidRPr="002D692F" w:rsidRDefault="002D692F" w:rsidP="002D692F">
      <w:pPr>
        <w:spacing w:after="0" w:line="240" w:lineRule="auto"/>
        <w:rPr>
          <w:rFonts w:ascii="Lub Dub Medium" w:hAnsi="Lub Dub Medium"/>
          <w:b/>
          <w:sz w:val="20"/>
          <w:szCs w:val="20"/>
        </w:rPr>
      </w:pPr>
      <w:r w:rsidRPr="002D692F">
        <w:rPr>
          <w:rFonts w:ascii="Lub Dub Medium" w:hAnsi="Lub Dub Medium"/>
          <w:b/>
          <w:sz w:val="20"/>
          <w:szCs w:val="20"/>
        </w:rPr>
        <w:t xml:space="preserve">EPI21 News Release </w:t>
      </w:r>
    </w:p>
    <w:p w14:paraId="485BBA44" w14:textId="08477303" w:rsidR="002D692F" w:rsidRPr="002D692F" w:rsidRDefault="002D692F" w:rsidP="002D692F">
      <w:pPr>
        <w:spacing w:after="0" w:line="240" w:lineRule="auto"/>
        <w:rPr>
          <w:rFonts w:ascii="Lub Dub Medium" w:eastAsia="Times New Roman" w:hAnsi="Lub Dub Medium" w:cs="Segoe UI"/>
          <w:b/>
          <w:bCs/>
          <w:sz w:val="20"/>
          <w:szCs w:val="20"/>
        </w:rPr>
      </w:pPr>
      <w:r w:rsidRPr="002D692F">
        <w:rPr>
          <w:rFonts w:ascii="Lub Dub Medium" w:eastAsia="Times New Roman" w:hAnsi="Lub Dub Medium" w:cs="Segoe UI"/>
          <w:b/>
          <w:bCs/>
          <w:sz w:val="20"/>
          <w:szCs w:val="20"/>
        </w:rPr>
        <w:t>Presentation #MP24</w:t>
      </w:r>
    </w:p>
    <w:p w14:paraId="0205A922" w14:textId="77777777" w:rsidR="002D692F" w:rsidRPr="002D692F" w:rsidRDefault="002D692F" w:rsidP="002D692F">
      <w:pPr>
        <w:spacing w:after="0" w:line="240" w:lineRule="auto"/>
        <w:rPr>
          <w:rFonts w:ascii="Lub Dub Medium" w:eastAsia="Times New Roman" w:hAnsi="Lub Dub Medium" w:cs="Segoe UI"/>
          <w:b/>
          <w:bCs/>
          <w:color w:val="C00000"/>
          <w:sz w:val="20"/>
          <w:szCs w:val="20"/>
        </w:rPr>
      </w:pPr>
      <w:r w:rsidRPr="002D692F">
        <w:rPr>
          <w:rFonts w:ascii="Lub Dub Medium" w:hAnsi="Lub Dub Medium"/>
          <w:b/>
          <w:bCs/>
          <w:color w:val="C00000"/>
          <w:sz w:val="20"/>
          <w:szCs w:val="20"/>
        </w:rPr>
        <w:t>Embargoed until 10 a.m. CT/ 11 a.m. ET, Thursday, May 20, 2021</w:t>
      </w:r>
    </w:p>
    <w:p w14:paraId="1FBEDA81" w14:textId="593BF7FF" w:rsidR="00C365E4" w:rsidRPr="00153C24" w:rsidRDefault="00C365E4" w:rsidP="00153C24">
      <w:pPr>
        <w:spacing w:after="0" w:line="240" w:lineRule="auto"/>
        <w:rPr>
          <w:rFonts w:ascii="Lub Dub Medium" w:eastAsia="Times New Roman" w:hAnsi="Lub Dub Medium" w:cs="Segoe UI"/>
          <w:b/>
          <w:bCs/>
          <w:color w:val="336699"/>
          <w:sz w:val="20"/>
          <w:szCs w:val="20"/>
          <w:lang w:val="en"/>
        </w:rPr>
      </w:pPr>
    </w:p>
    <w:p w14:paraId="6C36E4B5" w14:textId="000B5772" w:rsidR="00153C24" w:rsidRPr="00DD22A6" w:rsidRDefault="00153C24" w:rsidP="00153C24">
      <w:pPr>
        <w:pStyle w:val="pf0"/>
        <w:spacing w:before="0" w:beforeAutospacing="0" w:after="0" w:afterAutospacing="0"/>
        <w:rPr>
          <w:rFonts w:ascii="Lub Dub Medium" w:hAnsi="Lub Dub Medium" w:cs="Arial"/>
          <w:sz w:val="20"/>
          <w:szCs w:val="20"/>
        </w:rPr>
      </w:pPr>
      <w:r w:rsidRPr="00DD22A6">
        <w:rPr>
          <w:rFonts w:ascii="Lub Dub Medium" w:hAnsi="Lub Dub Medium"/>
          <w:b/>
          <w:sz w:val="20"/>
          <w:szCs w:val="20"/>
          <w:highlight w:val="yellow"/>
          <w:lang w:eastAsia="ar-SA"/>
        </w:rPr>
        <w:t xml:space="preserve">Contact Information: </w:t>
      </w:r>
      <w:r w:rsidR="00DD22A6" w:rsidRPr="00DD22A6">
        <w:rPr>
          <w:rFonts w:ascii="Lub Dub Medium" w:hAnsi="Lub Dub Medium"/>
          <w:bCs/>
          <w:sz w:val="20"/>
          <w:szCs w:val="20"/>
          <w:highlight w:val="yellow"/>
          <w:lang w:eastAsia="ar-SA"/>
        </w:rPr>
        <w:t xml:space="preserve">Kelley Pettee Gabriel, M.S., Ph.D., FAHA, </w:t>
      </w:r>
      <w:r w:rsidRPr="00DD22A6">
        <w:rPr>
          <w:rFonts w:ascii="Lub Dub Medium" w:hAnsi="Lub Dub Medium"/>
          <w:bCs/>
          <w:sz w:val="20"/>
          <w:szCs w:val="20"/>
          <w:highlight w:val="yellow"/>
          <w:lang w:eastAsia="ar-SA"/>
        </w:rPr>
        <w:t xml:space="preserve">may be reached through </w:t>
      </w:r>
      <w:r w:rsidR="00DD22A6" w:rsidRPr="00DD22A6">
        <w:rPr>
          <w:rFonts w:ascii="Lub Dub Medium" w:hAnsi="Lub Dub Medium"/>
          <w:sz w:val="20"/>
          <w:szCs w:val="20"/>
          <w:highlight w:val="yellow"/>
        </w:rPr>
        <w:t xml:space="preserve">Hannah Echols, </w:t>
      </w:r>
      <w:r w:rsidR="00DD22A6" w:rsidRPr="00DD22A6">
        <w:rPr>
          <w:rFonts w:ascii="Lub Dub Medium" w:hAnsi="Lub Dub Medium"/>
          <w:sz w:val="20"/>
          <w:szCs w:val="20"/>
          <w:highlight w:val="yellow"/>
        </w:rPr>
        <w:t xml:space="preserve">communications specialist at the University of Alabama-Birmingham at </w:t>
      </w:r>
      <w:hyperlink r:id="rId5" w:history="1">
        <w:r w:rsidR="00DD22A6" w:rsidRPr="00DD22A6">
          <w:rPr>
            <w:rStyle w:val="Hyperlink"/>
            <w:rFonts w:ascii="Lub Dub Medium" w:hAnsi="Lub Dub Medium"/>
            <w:sz w:val="20"/>
            <w:szCs w:val="20"/>
            <w:highlight w:val="yellow"/>
          </w:rPr>
          <w:t>echolsh@uab.edu</w:t>
        </w:r>
      </w:hyperlink>
      <w:r w:rsidRPr="00DD22A6">
        <w:rPr>
          <w:rStyle w:val="cf01"/>
          <w:rFonts w:ascii="Lub Dub Medium" w:hAnsi="Lub Dub Medium"/>
          <w:sz w:val="20"/>
          <w:szCs w:val="20"/>
          <w:highlight w:val="yellow"/>
        </w:rPr>
        <w:t>.</w:t>
      </w:r>
    </w:p>
    <w:p w14:paraId="1544BED4" w14:textId="77777777" w:rsidR="00153C24" w:rsidRPr="00153C24" w:rsidRDefault="00153C24" w:rsidP="00C365E4">
      <w:pPr>
        <w:spacing w:after="0" w:line="280" w:lineRule="atLeast"/>
        <w:rPr>
          <w:rFonts w:ascii="Lub Dub Medium" w:eastAsia="Times New Roman" w:hAnsi="Lub Dub Medium" w:cs="Segoe UI"/>
          <w:b/>
          <w:bCs/>
          <w:color w:val="336699"/>
          <w:sz w:val="20"/>
          <w:szCs w:val="20"/>
          <w:lang w:val="en"/>
        </w:rPr>
      </w:pPr>
    </w:p>
    <w:p w14:paraId="39102D9F" w14:textId="2EFD71DF" w:rsidR="002D692F" w:rsidRPr="002D692F" w:rsidRDefault="002D692F" w:rsidP="00C217F7">
      <w:pPr>
        <w:spacing w:after="0" w:line="280" w:lineRule="atLeast"/>
        <w:rPr>
          <w:rFonts w:ascii="Lub Dub Medium" w:eastAsia="Times New Roman" w:hAnsi="Lub Dub Medium" w:cs="Segoe UI"/>
          <w:color w:val="000000"/>
          <w:sz w:val="20"/>
          <w:szCs w:val="20"/>
        </w:rPr>
      </w:pPr>
      <w:r w:rsidRPr="00153C24">
        <w:rPr>
          <w:rFonts w:ascii="Lub Dub Medium" w:eastAsia="Times New Roman" w:hAnsi="Lub Dub Medium" w:cs="Segoe UI"/>
          <w:color w:val="000000" w:themeColor="text1"/>
          <w:sz w:val="20"/>
          <w:szCs w:val="20"/>
        </w:rPr>
        <w:t>MPS05 - Brain Health and Aging</w:t>
      </w:r>
      <w:r w:rsidRPr="002D692F">
        <w:rPr>
          <w:rFonts w:ascii="Lub Dub Medium" w:eastAsia="Times New Roman" w:hAnsi="Lub Dub Medium" w:cs="Segoe UI"/>
          <w:color w:val="000000"/>
          <w:sz w:val="20"/>
          <w:szCs w:val="20"/>
        </w:rPr>
        <w:t xml:space="preserve"> </w:t>
      </w:r>
      <w:r w:rsidRPr="002D692F">
        <w:rPr>
          <w:rFonts w:ascii="Calibri" w:eastAsia="Times New Roman" w:hAnsi="Calibri" w:cs="Calibri"/>
          <w:color w:val="000000"/>
          <w:sz w:val="20"/>
          <w:szCs w:val="20"/>
        </w:rPr>
        <w:t>  </w:t>
      </w:r>
      <w:r w:rsidRPr="002D692F">
        <w:rPr>
          <w:rFonts w:ascii="Lub Dub Medium" w:eastAsia="Times New Roman" w:hAnsi="Lub Dub Medium" w:cs="Segoe UI"/>
          <w:color w:val="000000"/>
          <w:sz w:val="20"/>
          <w:szCs w:val="20"/>
        </w:rPr>
        <w:t xml:space="preserve">(Presentation #MP24; Speaking Time: 5/20/2021 2:15:00 PM - 5/20/2021 2:20:00 PM) </w:t>
      </w:r>
    </w:p>
    <w:p w14:paraId="3BA3AD06" w14:textId="77777777" w:rsidR="002D692F" w:rsidRPr="002D692F" w:rsidRDefault="002D692F" w:rsidP="00C217F7">
      <w:pPr>
        <w:spacing w:after="0" w:line="280" w:lineRule="atLeast"/>
        <w:rPr>
          <w:rFonts w:ascii="Lub Dub Medium" w:eastAsia="Times New Roman" w:hAnsi="Lub Dub Medium" w:cs="Segoe UI"/>
          <w:b/>
          <w:bCs/>
          <w:color w:val="336699"/>
          <w:sz w:val="20"/>
          <w:szCs w:val="20"/>
          <w:lang w:val="en"/>
        </w:rPr>
      </w:pPr>
    </w:p>
    <w:p w14:paraId="4E692377" w14:textId="5006EEFA" w:rsidR="00C217F7" w:rsidRPr="002D692F" w:rsidRDefault="00C365E4" w:rsidP="00C217F7">
      <w:pPr>
        <w:spacing w:after="0" w:line="280" w:lineRule="atLeast"/>
        <w:rPr>
          <w:rFonts w:ascii="Lub Dub Medium" w:eastAsia="Times New Roman" w:hAnsi="Lub Dub Medium" w:cs="Segoe UI"/>
          <w:b/>
          <w:bCs/>
          <w:color w:val="336699"/>
          <w:sz w:val="20"/>
          <w:szCs w:val="20"/>
          <w:lang w:val="en"/>
        </w:rPr>
      </w:pPr>
      <w:r w:rsidRPr="002D692F">
        <w:rPr>
          <w:rFonts w:ascii="Lub Dub Medium" w:eastAsia="Times New Roman" w:hAnsi="Lub Dub Medium" w:cs="Segoe UI"/>
          <w:b/>
          <w:bCs/>
          <w:color w:val="336699"/>
          <w:sz w:val="20"/>
          <w:szCs w:val="20"/>
          <w:lang w:val="en"/>
        </w:rPr>
        <w:t>Title</w:t>
      </w:r>
      <w:r w:rsidR="00C217F7" w:rsidRPr="002D692F">
        <w:rPr>
          <w:rFonts w:ascii="Lub Dub Medium" w:eastAsia="Times New Roman" w:hAnsi="Lub Dub Medium" w:cs="Segoe UI"/>
          <w:b/>
          <w:bCs/>
          <w:color w:val="336699"/>
          <w:sz w:val="20"/>
          <w:szCs w:val="20"/>
          <w:lang w:val="en"/>
        </w:rPr>
        <w:t xml:space="preserve"> - </w:t>
      </w:r>
      <w:r w:rsidRPr="002D692F">
        <w:rPr>
          <w:rFonts w:ascii="Lub Dub Medium" w:eastAsia="Times New Roman" w:hAnsi="Lub Dub Medium" w:cs="Segoe UI"/>
          <w:b/>
          <w:bCs/>
          <w:color w:val="000000"/>
          <w:sz w:val="20"/>
          <w:szCs w:val="20"/>
          <w:lang w:val="en"/>
        </w:rPr>
        <w:t>Sedentary Behavior (SB) In Mid-life And Structural Brain Magnetic Resonance Imaging (MRI) Markers Of Cerebrovascular Disease And Neurodegeneration In Late-life: The Atherosclerosis Risk In Communities Neurocognitive Study (ARIC-NCS)</w:t>
      </w:r>
    </w:p>
    <w:p w14:paraId="7864F660" w14:textId="65750E9A" w:rsidR="00C365E4" w:rsidRPr="002D692F" w:rsidRDefault="00C365E4" w:rsidP="00C365E4">
      <w:pPr>
        <w:spacing w:after="0" w:line="280" w:lineRule="atLeast"/>
        <w:rPr>
          <w:rFonts w:ascii="Lub Dub Medium" w:eastAsia="Times New Roman" w:hAnsi="Lub Dub Medium" w:cs="Segoe UI"/>
          <w:color w:val="000000"/>
          <w:sz w:val="20"/>
          <w:szCs w:val="20"/>
          <w:lang w:val="en"/>
        </w:rPr>
      </w:pPr>
    </w:p>
    <w:p w14:paraId="544CB4DD" w14:textId="77777777" w:rsidR="00C365E4" w:rsidRPr="002D692F" w:rsidRDefault="00C365E4" w:rsidP="00C365E4">
      <w:pPr>
        <w:spacing w:after="0" w:line="280" w:lineRule="atLeast"/>
        <w:rPr>
          <w:rFonts w:ascii="Lub Dub Medium" w:eastAsia="Times New Roman" w:hAnsi="Lub Dub Medium" w:cs="Segoe UI"/>
          <w:b/>
          <w:bCs/>
          <w:color w:val="336699"/>
          <w:sz w:val="20"/>
          <w:szCs w:val="20"/>
          <w:lang w:val="en"/>
        </w:rPr>
      </w:pPr>
      <w:r w:rsidRPr="002D692F">
        <w:rPr>
          <w:rFonts w:ascii="Lub Dub Medium" w:eastAsia="Times New Roman" w:hAnsi="Lub Dub Medium" w:cs="Segoe UI"/>
          <w:b/>
          <w:bCs/>
          <w:color w:val="336699"/>
          <w:sz w:val="20"/>
          <w:szCs w:val="20"/>
          <w:lang w:val="en"/>
        </w:rPr>
        <w:t>Abstract Content</w:t>
      </w:r>
    </w:p>
    <w:tbl>
      <w:tblPr>
        <w:tblW w:w="0" w:type="auto"/>
        <w:tblCellSpacing w:w="15" w:type="dxa"/>
        <w:tblCellMar>
          <w:left w:w="0" w:type="dxa"/>
          <w:right w:w="0" w:type="dxa"/>
        </w:tblCellMar>
        <w:tblLook w:val="04A0" w:firstRow="1" w:lastRow="0" w:firstColumn="1" w:lastColumn="0" w:noHBand="0" w:noVBand="1"/>
      </w:tblPr>
      <w:tblGrid>
        <w:gridCol w:w="9360"/>
      </w:tblGrid>
      <w:tr w:rsidR="00C365E4" w:rsidRPr="002D692F" w14:paraId="7FE89CFA" w14:textId="77777777" w:rsidTr="00C365E4">
        <w:trPr>
          <w:tblCellSpacing w:w="15" w:type="dxa"/>
        </w:trPr>
        <w:tc>
          <w:tcPr>
            <w:tcW w:w="0" w:type="auto"/>
            <w:tcMar>
              <w:top w:w="15" w:type="dxa"/>
              <w:left w:w="15" w:type="dxa"/>
              <w:bottom w:w="15" w:type="dxa"/>
              <w:right w:w="15" w:type="dxa"/>
            </w:tcMar>
            <w:vAlign w:val="center"/>
            <w:hideMark/>
          </w:tcPr>
          <w:p w14:paraId="1DC36305" w14:textId="48F3CC75" w:rsidR="00C365E4"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Introduction:</w:t>
            </w:r>
            <w:r w:rsidRPr="002D692F">
              <w:rPr>
                <w:rFonts w:ascii="Lub Dub Medium" w:eastAsia="Times New Roman" w:hAnsi="Lub Dub Medium" w:cs="Segoe UI"/>
                <w:color w:val="000000"/>
                <w:sz w:val="20"/>
                <w:szCs w:val="20"/>
              </w:rPr>
              <w:t xml:space="preserve"> Few prospective studies have examined the associations of SB on brain MRI markers. We tested the hypotheses that higher levels of, and persistence of mid-life television viewing, a cognitively passive SB, are associated with structural brain MRI markers in late-life, and that these associations are independent from physical activity (PA).</w:t>
            </w:r>
            <w:r w:rsidRPr="002D692F">
              <w:rPr>
                <w:rFonts w:ascii="Lub Dub Medium" w:eastAsia="Times New Roman" w:hAnsi="Lub Dub Medium" w:cs="Segoe UI"/>
                <w:color w:val="000000"/>
                <w:sz w:val="20"/>
                <w:szCs w:val="20"/>
              </w:rPr>
              <w:br/>
            </w:r>
            <w:r w:rsidRPr="002D692F">
              <w:rPr>
                <w:rFonts w:ascii="Lub Dub Medium" w:eastAsia="Times New Roman" w:hAnsi="Lub Dub Medium" w:cs="Segoe UI"/>
                <w:b/>
                <w:bCs/>
                <w:color w:val="000000"/>
                <w:sz w:val="20"/>
                <w:szCs w:val="20"/>
              </w:rPr>
              <w:t>Methods:</w:t>
            </w:r>
            <w:r w:rsidRPr="002D692F">
              <w:rPr>
                <w:rFonts w:ascii="Lub Dub Medium" w:eastAsia="Times New Roman" w:hAnsi="Lub Dub Medium" w:cs="Segoe UI"/>
                <w:color w:val="000000"/>
                <w:sz w:val="20"/>
                <w:szCs w:val="20"/>
              </w:rPr>
              <w:t xml:space="preserve"> ARIC participants (n=1,601, mean age: 76.2 years, 60.5% female, 27.2% Black) with reported television viewing at visits 1 (1987-89) and 3 (1993-95), and brain MRI in 2011-13 were included. Participants were categorized as low [never/seldom], medium [sometimes], or high [often/very often] television viewing. Persistent pattern of television viewing was quantified as the same frequency of reported television viewing at visits 1 and 3 (n=971). Imaging using 3T brain MRI quantified the presence of cerebrovascular lesions, white matter microstructural integrity and disease, and grey matter volumes using a standardized protocol. Models were adjusted for age, race-center, sex, education, APOE-</w:t>
            </w:r>
            <w:r w:rsidRPr="002D692F">
              <w:rPr>
                <w:rFonts w:ascii="Arial" w:eastAsia="Times New Roman" w:hAnsi="Arial" w:cs="Arial"/>
                <w:color w:val="000000"/>
                <w:sz w:val="20"/>
                <w:szCs w:val="20"/>
              </w:rPr>
              <w:t>ɛ</w:t>
            </w:r>
            <w:r w:rsidRPr="002D692F">
              <w:rPr>
                <w:rFonts w:ascii="Lub Dub Medium" w:eastAsia="Times New Roman" w:hAnsi="Lub Dub Medium" w:cs="Segoe UI"/>
                <w:color w:val="000000"/>
                <w:sz w:val="20"/>
                <w:szCs w:val="20"/>
              </w:rPr>
              <w:t>4, smoking status, and total intracranial volume in volumetric analysis. Sampling weights were included to generalize MRI sample to the visit 5 cohort. Interactions by meeting (or not) 2018 PA guidelines were tested.</w:t>
            </w:r>
            <w:r w:rsidRPr="002D692F">
              <w:rPr>
                <w:rFonts w:ascii="Lub Dub Medium" w:eastAsia="Times New Roman" w:hAnsi="Lub Dub Medium" w:cs="Segoe UI"/>
                <w:color w:val="000000"/>
                <w:sz w:val="20"/>
                <w:szCs w:val="20"/>
              </w:rPr>
              <w:br/>
            </w:r>
            <w:r w:rsidRPr="002D692F">
              <w:rPr>
                <w:rFonts w:ascii="Lub Dub Medium" w:eastAsia="Times New Roman" w:hAnsi="Lub Dub Medium" w:cs="Segoe UI"/>
                <w:b/>
                <w:bCs/>
                <w:color w:val="000000"/>
                <w:sz w:val="20"/>
                <w:szCs w:val="20"/>
              </w:rPr>
              <w:t xml:space="preserve">Results: </w:t>
            </w:r>
            <w:r w:rsidRPr="002D692F">
              <w:rPr>
                <w:rFonts w:ascii="Lub Dub Medium" w:eastAsia="Times New Roman" w:hAnsi="Lub Dub Medium" w:cs="Segoe UI"/>
                <w:color w:val="000000"/>
                <w:sz w:val="20"/>
                <w:szCs w:val="20"/>
              </w:rPr>
              <w:t xml:space="preserve">Compared to low television viewing, medium and high television viewing in midlife was significantly associated with smaller deep grey matter volumes in </w:t>
            </w:r>
            <w:proofErr w:type="gramStart"/>
            <w:r w:rsidRPr="002D692F">
              <w:rPr>
                <w:rFonts w:ascii="Lub Dub Medium" w:eastAsia="Times New Roman" w:hAnsi="Lub Dub Medium" w:cs="Segoe UI"/>
                <w:color w:val="000000"/>
                <w:sz w:val="20"/>
                <w:szCs w:val="20"/>
              </w:rPr>
              <w:t>late-life</w:t>
            </w:r>
            <w:proofErr w:type="gramEnd"/>
            <w:r w:rsidRPr="002D692F">
              <w:rPr>
                <w:rFonts w:ascii="Lub Dub Medium" w:eastAsia="Times New Roman" w:hAnsi="Lub Dub Medium" w:cs="Segoe UI"/>
                <w:color w:val="000000"/>
                <w:sz w:val="20"/>
                <w:szCs w:val="20"/>
              </w:rPr>
              <w:t xml:space="preserve"> after multivariable adjustment; associations were stronger for persistent television viewing (</w:t>
            </w:r>
            <w:r w:rsidRPr="002D692F">
              <w:rPr>
                <w:rFonts w:ascii="Lub Dub Medium" w:eastAsia="Times New Roman" w:hAnsi="Lub Dub Medium" w:cs="Segoe UI"/>
                <w:b/>
                <w:bCs/>
                <w:color w:val="000000"/>
                <w:sz w:val="20"/>
                <w:szCs w:val="20"/>
              </w:rPr>
              <w:t>Table</w:t>
            </w:r>
            <w:r w:rsidRPr="002D692F">
              <w:rPr>
                <w:rFonts w:ascii="Lub Dub Medium" w:eastAsia="Times New Roman" w:hAnsi="Lub Dub Medium" w:cs="Segoe UI"/>
                <w:color w:val="000000"/>
                <w:sz w:val="20"/>
                <w:szCs w:val="20"/>
              </w:rPr>
              <w:t>). All other associations of midlife, or persistent midlife, television viewing with structural brain MRI markers were statistically null. Interactions with meeting PA guidelines were also non-significant.</w:t>
            </w:r>
            <w:r w:rsidRPr="002D692F">
              <w:rPr>
                <w:rFonts w:ascii="Lub Dub Medium" w:eastAsia="Times New Roman" w:hAnsi="Lub Dub Medium" w:cs="Segoe UI"/>
                <w:color w:val="000000"/>
                <w:sz w:val="20"/>
                <w:szCs w:val="20"/>
              </w:rPr>
              <w:br/>
            </w:r>
            <w:r w:rsidRPr="002D692F">
              <w:rPr>
                <w:rFonts w:ascii="Lub Dub Medium" w:eastAsia="Times New Roman" w:hAnsi="Lub Dub Medium" w:cs="Segoe UI"/>
                <w:b/>
                <w:bCs/>
                <w:color w:val="000000"/>
                <w:sz w:val="20"/>
                <w:szCs w:val="20"/>
              </w:rPr>
              <w:t xml:space="preserve">Conclusions: </w:t>
            </w:r>
            <w:r w:rsidRPr="002D692F">
              <w:rPr>
                <w:rFonts w:ascii="Lub Dub Medium" w:eastAsia="Times New Roman" w:hAnsi="Lub Dub Medium" w:cs="Segoe UI"/>
                <w:color w:val="000000"/>
                <w:sz w:val="20"/>
                <w:szCs w:val="20"/>
              </w:rPr>
              <w:t>Findings suggest an inverse association of mid-life television viewing with later-life deep grey matter volumes. Studies examining the associations of daily accumulated SB, and differences by SB type (active versus passive), with brain MRI markers are needed.</w:t>
            </w:r>
          </w:p>
          <w:p w14:paraId="4BF78310" w14:textId="77777777" w:rsidR="002D692F" w:rsidRPr="002D692F" w:rsidRDefault="002D692F" w:rsidP="00C365E4">
            <w:pPr>
              <w:spacing w:after="0" w:line="280" w:lineRule="atLeast"/>
              <w:rPr>
                <w:rFonts w:ascii="Lub Dub Medium" w:eastAsia="Times New Roman" w:hAnsi="Lub Dub Medium" w:cs="Segoe UI"/>
                <w:color w:val="000000"/>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132"/>
              <w:gridCol w:w="1369"/>
              <w:gridCol w:w="1812"/>
              <w:gridCol w:w="1987"/>
              <w:gridCol w:w="954"/>
            </w:tblGrid>
            <w:tr w:rsidR="00C365E4" w:rsidRPr="002D692F" w14:paraId="5868CFA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A7D66"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698FF0" w14:textId="77777777" w:rsidR="00C365E4" w:rsidRPr="002D692F" w:rsidRDefault="00C365E4" w:rsidP="00C365E4">
                  <w:pPr>
                    <w:spacing w:after="0" w:line="280" w:lineRule="atLeast"/>
                    <w:rPr>
                      <w:rFonts w:ascii="Lub Dub Condensed" w:eastAsia="Times New Roman" w:hAnsi="Lub Dub Condensed"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C3DAF5" w14:textId="77777777" w:rsidR="00C365E4" w:rsidRPr="002D692F" w:rsidRDefault="00C365E4" w:rsidP="00C365E4">
                  <w:pPr>
                    <w:spacing w:after="0" w:line="280" w:lineRule="atLeast"/>
                    <w:rPr>
                      <w:rFonts w:ascii="Lub Dub Condensed" w:eastAsia="Times New Roman" w:hAnsi="Lub Dub Condensed"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B3AAB6" w14:textId="77777777" w:rsidR="00C365E4" w:rsidRPr="002D692F" w:rsidRDefault="00C365E4" w:rsidP="00C365E4">
                  <w:pPr>
                    <w:spacing w:after="0" w:line="280" w:lineRule="atLeast"/>
                    <w:rPr>
                      <w:rFonts w:ascii="Lub Dub Condensed" w:eastAsia="Times New Roman" w:hAnsi="Lub Dub Condensed"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A913C9" w14:textId="77777777" w:rsidR="00C365E4" w:rsidRPr="002D692F" w:rsidRDefault="00C365E4" w:rsidP="00C365E4">
                  <w:pPr>
                    <w:spacing w:after="0" w:line="280" w:lineRule="atLeast"/>
                    <w:rPr>
                      <w:rFonts w:ascii="Lub Dub Condensed" w:eastAsia="Times New Roman" w:hAnsi="Lub Dub Condensed" w:cs="Times New Roman"/>
                      <w:sz w:val="18"/>
                      <w:szCs w:val="18"/>
                    </w:rPr>
                  </w:pPr>
                </w:p>
              </w:tc>
            </w:tr>
            <w:tr w:rsidR="00C365E4" w:rsidRPr="002D692F" w14:paraId="732C6439" w14:textId="7777777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7F3E887"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Table. Weighted adjusted association of midlife (Visit 3) and persistence in midlife (Visit 1 to Visit 3) television viewing with late-life (Visit 5; 2011-13) measures of cerebrovascular lesions, standardized white matter microstructural integrity and white matter disease, and standardized grey matter volumes</w:t>
                  </w:r>
                </w:p>
              </w:tc>
            </w:tr>
            <w:tr w:rsidR="00C365E4" w:rsidRPr="002D692F" w14:paraId="47BD838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DCF1A"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CEDD9A"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color w:val="000000"/>
                      <w:sz w:val="18"/>
                      <w:szCs w:val="18"/>
                    </w:rPr>
                    <w:t xml:space="preserve">Television Viewing, Visit 3 (1993-95), n=1,601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84FE3"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p>
              </w:tc>
            </w:tr>
            <w:tr w:rsidR="00C365E4" w:rsidRPr="002D692F" w14:paraId="62017C7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6B46CE" w14:textId="77777777" w:rsidR="00C365E4" w:rsidRPr="002D692F" w:rsidRDefault="00C365E4" w:rsidP="00C365E4">
                  <w:pPr>
                    <w:spacing w:after="0" w:line="280" w:lineRule="atLeast"/>
                    <w:rPr>
                      <w:rFonts w:ascii="Lub Dub Condensed" w:eastAsia="Times New Roman" w:hAnsi="Lub Dub Condensed"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881D3C"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proofErr w:type="spellStart"/>
                  <w:r w:rsidRPr="002D692F">
                    <w:rPr>
                      <w:rFonts w:ascii="Lub Dub Condensed" w:eastAsia="Times New Roman" w:hAnsi="Lub Dub Condensed" w:cs="Segoe UI"/>
                      <w:b/>
                      <w:bCs/>
                      <w:color w:val="000000"/>
                      <w:sz w:val="18"/>
                      <w:szCs w:val="18"/>
                      <w:u w:val="single"/>
                    </w:rPr>
                    <w:t>Low</w:t>
                  </w:r>
                  <w:r w:rsidRPr="002D692F">
                    <w:rPr>
                      <w:rFonts w:ascii="Lub Dub Condensed" w:eastAsia="Times New Roman" w:hAnsi="Lub Dub Condensed" w:cs="Segoe UI"/>
                      <w:b/>
                      <w:bCs/>
                      <w:color w:val="000000"/>
                      <w:sz w:val="18"/>
                      <w:szCs w:val="18"/>
                    </w:rPr>
                    <w:t>n</w:t>
                  </w:r>
                  <w:proofErr w:type="spellEnd"/>
                  <w:r w:rsidRPr="002D692F">
                    <w:rPr>
                      <w:rFonts w:ascii="Lub Dub Condensed" w:eastAsia="Times New Roman" w:hAnsi="Lub Dub Condensed" w:cs="Segoe UI"/>
                      <w:b/>
                      <w:bCs/>
                      <w:color w:val="000000"/>
                      <w:sz w:val="18"/>
                      <w:szCs w:val="18"/>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65CD0"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proofErr w:type="spellStart"/>
                  <w:r w:rsidRPr="002D692F">
                    <w:rPr>
                      <w:rFonts w:ascii="Lub Dub Condensed" w:eastAsia="Times New Roman" w:hAnsi="Lub Dub Condensed" w:cs="Segoe UI"/>
                      <w:b/>
                      <w:bCs/>
                      <w:color w:val="000000"/>
                      <w:sz w:val="18"/>
                      <w:szCs w:val="18"/>
                      <w:u w:val="single"/>
                    </w:rPr>
                    <w:t>Medium</w:t>
                  </w:r>
                  <w:r w:rsidRPr="002D692F">
                    <w:rPr>
                      <w:rFonts w:ascii="Lub Dub Condensed" w:eastAsia="Times New Roman" w:hAnsi="Lub Dub Condensed" w:cs="Segoe UI"/>
                      <w:b/>
                      <w:bCs/>
                      <w:color w:val="000000"/>
                      <w:sz w:val="18"/>
                      <w:szCs w:val="18"/>
                    </w:rPr>
                    <w:t>n</w:t>
                  </w:r>
                  <w:proofErr w:type="spellEnd"/>
                  <w:r w:rsidRPr="002D692F">
                    <w:rPr>
                      <w:rFonts w:ascii="Lub Dub Condensed" w:eastAsia="Times New Roman" w:hAnsi="Lub Dub Condensed" w:cs="Segoe UI"/>
                      <w:b/>
                      <w:bCs/>
                      <w:color w:val="000000"/>
                      <w:sz w:val="18"/>
                      <w:szCs w:val="18"/>
                    </w:rPr>
                    <w:t>=782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3857B"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proofErr w:type="spellStart"/>
                  <w:r w:rsidRPr="002D692F">
                    <w:rPr>
                      <w:rFonts w:ascii="Lub Dub Condensed" w:eastAsia="Times New Roman" w:hAnsi="Lub Dub Condensed" w:cs="Segoe UI"/>
                      <w:b/>
                      <w:bCs/>
                      <w:color w:val="000000"/>
                      <w:sz w:val="18"/>
                      <w:szCs w:val="18"/>
                      <w:u w:val="single"/>
                    </w:rPr>
                    <w:t>High</w:t>
                  </w:r>
                  <w:r w:rsidRPr="002D692F">
                    <w:rPr>
                      <w:rFonts w:ascii="Lub Dub Condensed" w:eastAsia="Times New Roman" w:hAnsi="Lub Dub Condensed" w:cs="Segoe UI"/>
                      <w:b/>
                      <w:bCs/>
                      <w:color w:val="000000"/>
                      <w:sz w:val="18"/>
                      <w:szCs w:val="18"/>
                    </w:rPr>
                    <w:t>n</w:t>
                  </w:r>
                  <w:proofErr w:type="spellEnd"/>
                  <w:r w:rsidRPr="002D692F">
                    <w:rPr>
                      <w:rFonts w:ascii="Lub Dub Condensed" w:eastAsia="Times New Roman" w:hAnsi="Lub Dub Condensed" w:cs="Segoe UI"/>
                      <w:b/>
                      <w:bCs/>
                      <w:color w:val="000000"/>
                      <w:sz w:val="18"/>
                      <w:szCs w:val="18"/>
                    </w:rPr>
                    <w:t>=531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4AB6F"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color w:val="000000"/>
                      <w:sz w:val="18"/>
                      <w:szCs w:val="18"/>
                    </w:rPr>
                    <w:t>P-trend</w:t>
                  </w:r>
                </w:p>
              </w:tc>
            </w:tr>
            <w:tr w:rsidR="00C365E4" w:rsidRPr="002D692F" w14:paraId="7235CBAD" w14:textId="7777777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E0FE0F3"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i/>
                      <w:iCs/>
                      <w:color w:val="000000"/>
                      <w:sz w:val="18"/>
                      <w:szCs w:val="18"/>
                    </w:rPr>
                    <w:t>Cerebrovascular Lesions (Odds Ratio (95% CI))</w:t>
                  </w:r>
                </w:p>
              </w:tc>
            </w:tr>
            <w:tr w:rsidR="00C365E4" w:rsidRPr="002D692F" w14:paraId="3DD1DB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D3A05D"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Cortical infarcts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BD4A6"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1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99502"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1.30 (0.72, 2.34)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64A1C"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1.06 (0.57, 1.96)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612F4"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0.976</w:t>
                  </w:r>
                </w:p>
              </w:tc>
            </w:tr>
            <w:tr w:rsidR="00C365E4" w:rsidRPr="002D692F" w14:paraId="5C52839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B9054"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Lacunar Infarcts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CADA0"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1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D950F"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1.27 (0.84, 1.93)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C5AA9"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0.88 (0.55, 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EC2C4"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0.361</w:t>
                  </w:r>
                </w:p>
              </w:tc>
            </w:tr>
            <w:tr w:rsidR="00C365E4" w:rsidRPr="002D692F" w14:paraId="55808EB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8FF088"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Subcortical Microhemorrhage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B6ABA"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1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A0277"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1.25 (0.81, 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D5F1B"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0.99 (0.63, 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665EB"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0.741</w:t>
                  </w:r>
                </w:p>
              </w:tc>
            </w:tr>
            <w:tr w:rsidR="00C365E4" w:rsidRPr="002D692F" w14:paraId="0CA2BC64" w14:textId="7777777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FF09C23"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i/>
                      <w:iCs/>
                      <w:color w:val="000000"/>
                      <w:sz w:val="18"/>
                      <w:szCs w:val="18"/>
                    </w:rPr>
                    <w:t>Per Standard Deviation White Matter Microstructural Integrity and White Matter Disease [Beta (95% CI)]</w:t>
                  </w:r>
                  <w:r w:rsidRPr="002D692F">
                    <w:rPr>
                      <w:rFonts w:ascii="Lub Dub Condensed" w:eastAsia="Times New Roman" w:hAnsi="Lub Dub Condensed" w:cs="Segoe UI"/>
                      <w:b/>
                      <w:bCs/>
                      <w:color w:val="000000"/>
                      <w:sz w:val="18"/>
                      <w:szCs w:val="18"/>
                      <w:vertAlign w:val="superscript"/>
                    </w:rPr>
                    <w:t>a</w:t>
                  </w:r>
                </w:p>
              </w:tc>
            </w:tr>
            <w:tr w:rsidR="00C365E4" w:rsidRPr="002D692F" w14:paraId="055BD4B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21FB5A"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Mean Fractional </w:t>
                  </w:r>
                  <w:proofErr w:type="spellStart"/>
                  <w:r w:rsidRPr="002D692F">
                    <w:rPr>
                      <w:rFonts w:ascii="Lub Dub Medium" w:eastAsia="Times New Roman" w:hAnsi="Lub Dub Medium" w:cs="Segoe UI"/>
                      <w:b/>
                      <w:bCs/>
                      <w:color w:val="000000"/>
                      <w:sz w:val="20"/>
                      <w:szCs w:val="20"/>
                    </w:rPr>
                    <w:t>Anisotropy</w:t>
                  </w:r>
                  <w:r w:rsidRPr="002D692F">
                    <w:rPr>
                      <w:rFonts w:ascii="Lub Dub Medium" w:eastAsia="Times New Roman" w:hAnsi="Lub Dub Medium" w:cs="Segoe UI"/>
                      <w:b/>
                      <w:bCs/>
                      <w:color w:val="000000"/>
                      <w:sz w:val="20"/>
                      <w:szCs w:val="20"/>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4B4A048"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5DC47"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-0.13 (-0.27, 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03568"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-0.09 (-0.24, 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DB7AA"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0.403</w:t>
                  </w:r>
                </w:p>
              </w:tc>
            </w:tr>
            <w:tr w:rsidR="00C365E4" w:rsidRPr="002D692F" w14:paraId="402F54C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D4ABA"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Mean </w:t>
                  </w:r>
                  <w:proofErr w:type="spellStart"/>
                  <w:r w:rsidRPr="002D692F">
                    <w:rPr>
                      <w:rFonts w:ascii="Lub Dub Medium" w:eastAsia="Times New Roman" w:hAnsi="Lub Dub Medium" w:cs="Segoe UI"/>
                      <w:b/>
                      <w:bCs/>
                      <w:color w:val="000000"/>
                      <w:sz w:val="20"/>
                      <w:szCs w:val="20"/>
                    </w:rPr>
                    <w:t>Diffusivity</w:t>
                  </w:r>
                  <w:r w:rsidRPr="002D692F">
                    <w:rPr>
                      <w:rFonts w:ascii="Lub Dub Medium" w:eastAsia="Times New Roman" w:hAnsi="Lub Dub Medium" w:cs="Segoe UI"/>
                      <w:b/>
                      <w:bCs/>
                      <w:color w:val="000000"/>
                      <w:sz w:val="20"/>
                      <w:szCs w:val="20"/>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2882E8"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2E71C"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0.07 (-0.04, 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8D512"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0.05 (-0.08, 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2DA59"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0.517</w:t>
                  </w:r>
                </w:p>
              </w:tc>
            </w:tr>
            <w:tr w:rsidR="00C365E4" w:rsidRPr="002D692F" w14:paraId="7829A35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37ACE"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log (WMH volume)</w:t>
                  </w:r>
                  <w:r w:rsidRPr="002D692F">
                    <w:rPr>
                      <w:rFonts w:ascii="Lub Dub Medium" w:eastAsia="Times New Roman" w:hAnsi="Lub Dub Medium" w:cs="Segoe UI"/>
                      <w:b/>
                      <w:bCs/>
                      <w:color w:val="000000"/>
                      <w:sz w:val="20"/>
                      <w:szCs w:val="20"/>
                      <w:vertAlign w:val="superscript"/>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B12FE"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47250"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0.05 (-0.10, 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2514F"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0.05 (-0.12, 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63345"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0.615</w:t>
                  </w:r>
                </w:p>
              </w:tc>
            </w:tr>
            <w:tr w:rsidR="00C365E4" w:rsidRPr="002D692F" w14:paraId="3216E3FD" w14:textId="7777777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06D7463"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i/>
                      <w:iCs/>
                      <w:color w:val="000000"/>
                      <w:sz w:val="18"/>
                      <w:szCs w:val="18"/>
                    </w:rPr>
                    <w:t>Per Standard Deviation Grey Matter Volume [Beta (95% CI)]</w:t>
                  </w:r>
                  <w:r w:rsidRPr="002D692F">
                    <w:rPr>
                      <w:rFonts w:ascii="Lub Dub Condensed" w:eastAsia="Times New Roman" w:hAnsi="Lub Dub Condensed" w:cs="Segoe UI"/>
                      <w:b/>
                      <w:bCs/>
                      <w:i/>
                      <w:iCs/>
                      <w:color w:val="000000"/>
                      <w:sz w:val="18"/>
                      <w:szCs w:val="18"/>
                      <w:vertAlign w:val="superscript"/>
                    </w:rPr>
                    <w:t>a</w:t>
                  </w:r>
                </w:p>
              </w:tc>
            </w:tr>
            <w:tr w:rsidR="00C365E4" w:rsidRPr="002D692F" w14:paraId="70137BB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353BA6"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Total </w:t>
                  </w:r>
                  <w:proofErr w:type="spellStart"/>
                  <w:r w:rsidRPr="002D692F">
                    <w:rPr>
                      <w:rFonts w:ascii="Lub Dub Medium" w:eastAsia="Times New Roman" w:hAnsi="Lub Dub Medium" w:cs="Segoe UI"/>
                      <w:b/>
                      <w:bCs/>
                      <w:color w:val="000000"/>
                      <w:sz w:val="20"/>
                      <w:szCs w:val="20"/>
                    </w:rPr>
                    <w:t>Cortical</w:t>
                  </w:r>
                  <w:r w:rsidRPr="002D692F">
                    <w:rPr>
                      <w:rFonts w:ascii="Lub Dub Medium" w:eastAsia="Times New Roman" w:hAnsi="Lub Dub Medium" w:cs="Segoe UI"/>
                      <w:b/>
                      <w:bCs/>
                      <w:color w:val="000000"/>
                      <w:sz w:val="20"/>
                      <w:szCs w:val="20"/>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C3E27DF"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C6451"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-0.03 (-0.11, 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123C8"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0.01 (-0.08, 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69DE0"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0.726</w:t>
                  </w:r>
                </w:p>
              </w:tc>
            </w:tr>
            <w:tr w:rsidR="00C365E4" w:rsidRPr="002D692F" w14:paraId="4215CFC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7DA6B8"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Temporal Lobe Meta </w:t>
                  </w:r>
                  <w:proofErr w:type="spellStart"/>
                  <w:r w:rsidRPr="002D692F">
                    <w:rPr>
                      <w:rFonts w:ascii="Lub Dub Medium" w:eastAsia="Times New Roman" w:hAnsi="Lub Dub Medium" w:cs="Segoe UI"/>
                      <w:b/>
                      <w:bCs/>
                      <w:color w:val="000000"/>
                      <w:sz w:val="20"/>
                      <w:szCs w:val="20"/>
                    </w:rPr>
                    <w:t>ROI</w:t>
                  </w:r>
                  <w:r w:rsidRPr="002D692F">
                    <w:rPr>
                      <w:rFonts w:ascii="Lub Dub Medium" w:eastAsia="Times New Roman" w:hAnsi="Lub Dub Medium" w:cs="Segoe UI"/>
                      <w:b/>
                      <w:bCs/>
                      <w:color w:val="000000"/>
                      <w:sz w:val="20"/>
                      <w:szCs w:val="20"/>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D71C447"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38CB1"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-0.005 (-0.10, 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94548"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0.02 (-0.08, 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3B2F9"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0.612</w:t>
                  </w:r>
                </w:p>
              </w:tc>
            </w:tr>
            <w:tr w:rsidR="00C365E4" w:rsidRPr="002D692F" w14:paraId="5F145A4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1C10A"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Deep Gray </w:t>
                  </w:r>
                  <w:proofErr w:type="spellStart"/>
                  <w:r w:rsidRPr="002D692F">
                    <w:rPr>
                      <w:rFonts w:ascii="Lub Dub Medium" w:eastAsia="Times New Roman" w:hAnsi="Lub Dub Medium" w:cs="Segoe UI"/>
                      <w:b/>
                      <w:bCs/>
                      <w:color w:val="000000"/>
                      <w:sz w:val="20"/>
                      <w:szCs w:val="20"/>
                    </w:rPr>
                    <w:t>Matter</w:t>
                  </w:r>
                  <w:r w:rsidRPr="002D692F">
                    <w:rPr>
                      <w:rFonts w:ascii="Lub Dub Medium" w:eastAsia="Times New Roman" w:hAnsi="Lub Dub Medium" w:cs="Segoe UI"/>
                      <w:b/>
                      <w:bCs/>
                      <w:color w:val="000000"/>
                      <w:sz w:val="20"/>
                      <w:szCs w:val="20"/>
                      <w:vertAlign w:val="superscript"/>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EE7871B"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6F4EA"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color w:val="000000"/>
                      <w:sz w:val="18"/>
                      <w:szCs w:val="18"/>
                    </w:rPr>
                    <w:t>-0.14 (-0.25, -0.03)*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EBA9B"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-0.16 (-0.27, -0.06)*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9A10E"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0.004 </w:t>
                  </w:r>
                </w:p>
              </w:tc>
            </w:tr>
            <w:tr w:rsidR="00C365E4" w:rsidRPr="002D692F" w14:paraId="2998E88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7EE25"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D7DC8E"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color w:val="000000"/>
                      <w:sz w:val="18"/>
                      <w:szCs w:val="18"/>
                    </w:rPr>
                    <w:t>Persistence in Television Viewing, Visit 1 (1987-89) to Visit 3 (1993-95), n=971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508A1"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p>
              </w:tc>
            </w:tr>
            <w:tr w:rsidR="00C365E4" w:rsidRPr="002D692F" w14:paraId="6103AF4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E1774" w14:textId="77777777" w:rsidR="00C365E4" w:rsidRPr="002D692F" w:rsidRDefault="00C365E4" w:rsidP="00C365E4">
                  <w:pPr>
                    <w:spacing w:after="0" w:line="280" w:lineRule="atLeast"/>
                    <w:rPr>
                      <w:rFonts w:ascii="Lub Dub Medium" w:eastAsia="Times New Roman" w:hAnsi="Lub Dub Medium"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7699C1"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color w:val="000000"/>
                      <w:sz w:val="18"/>
                      <w:szCs w:val="18"/>
                      <w:u w:val="single"/>
                    </w:rPr>
                    <w:t xml:space="preserve">Stable </w:t>
                  </w:r>
                  <w:proofErr w:type="spellStart"/>
                  <w:r w:rsidRPr="002D692F">
                    <w:rPr>
                      <w:rFonts w:ascii="Lub Dub Condensed" w:eastAsia="Times New Roman" w:hAnsi="Lub Dub Condensed" w:cs="Segoe UI"/>
                      <w:b/>
                      <w:bCs/>
                      <w:color w:val="000000"/>
                      <w:sz w:val="18"/>
                      <w:szCs w:val="18"/>
                      <w:u w:val="single"/>
                    </w:rPr>
                    <w:t>Low</w:t>
                  </w:r>
                  <w:r w:rsidRPr="002D692F">
                    <w:rPr>
                      <w:rFonts w:ascii="Lub Dub Condensed" w:eastAsia="Times New Roman" w:hAnsi="Lub Dub Condensed" w:cs="Segoe UI"/>
                      <w:b/>
                      <w:bCs/>
                      <w:color w:val="000000"/>
                      <w:sz w:val="18"/>
                      <w:szCs w:val="18"/>
                    </w:rPr>
                    <w:t>n</w:t>
                  </w:r>
                  <w:proofErr w:type="spellEnd"/>
                  <w:r w:rsidRPr="002D692F">
                    <w:rPr>
                      <w:rFonts w:ascii="Lub Dub Condensed" w:eastAsia="Times New Roman" w:hAnsi="Lub Dub Condensed" w:cs="Segoe UI"/>
                      <w:b/>
                      <w:bCs/>
                      <w:color w:val="000000"/>
                      <w:sz w:val="18"/>
                      <w:szCs w:val="18"/>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54813"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color w:val="000000"/>
                      <w:sz w:val="18"/>
                      <w:szCs w:val="18"/>
                      <w:u w:val="single"/>
                    </w:rPr>
                    <w:t xml:space="preserve">Stable </w:t>
                  </w:r>
                  <w:proofErr w:type="spellStart"/>
                  <w:r w:rsidRPr="002D692F">
                    <w:rPr>
                      <w:rFonts w:ascii="Lub Dub Condensed" w:eastAsia="Times New Roman" w:hAnsi="Lub Dub Condensed" w:cs="Segoe UI"/>
                      <w:b/>
                      <w:bCs/>
                      <w:color w:val="000000"/>
                      <w:sz w:val="18"/>
                      <w:szCs w:val="18"/>
                      <w:u w:val="single"/>
                    </w:rPr>
                    <w:t>Medium</w:t>
                  </w:r>
                  <w:r w:rsidRPr="002D692F">
                    <w:rPr>
                      <w:rFonts w:ascii="Lub Dub Condensed" w:eastAsia="Times New Roman" w:hAnsi="Lub Dub Condensed" w:cs="Segoe UI"/>
                      <w:b/>
                      <w:bCs/>
                      <w:color w:val="000000"/>
                      <w:sz w:val="18"/>
                      <w:szCs w:val="18"/>
                    </w:rPr>
                    <w:t>n</w:t>
                  </w:r>
                  <w:proofErr w:type="spellEnd"/>
                  <w:r w:rsidRPr="002D692F">
                    <w:rPr>
                      <w:rFonts w:ascii="Lub Dub Condensed" w:eastAsia="Times New Roman" w:hAnsi="Lub Dub Condensed" w:cs="Segoe UI"/>
                      <w:b/>
                      <w:bCs/>
                      <w:color w:val="000000"/>
                      <w:sz w:val="18"/>
                      <w:szCs w:val="18"/>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AB4E8"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u w:val="single"/>
                    </w:rPr>
                    <w:t xml:space="preserve">Stable </w:t>
                  </w:r>
                  <w:proofErr w:type="spellStart"/>
                  <w:r w:rsidRPr="002D692F">
                    <w:rPr>
                      <w:rFonts w:ascii="Lub Dub Medium" w:eastAsia="Times New Roman" w:hAnsi="Lub Dub Medium" w:cs="Segoe UI"/>
                      <w:b/>
                      <w:bCs/>
                      <w:color w:val="000000"/>
                      <w:sz w:val="20"/>
                      <w:szCs w:val="20"/>
                      <w:u w:val="single"/>
                    </w:rPr>
                    <w:t>High</w:t>
                  </w:r>
                  <w:r w:rsidRPr="002D692F">
                    <w:rPr>
                      <w:rFonts w:ascii="Lub Dub Medium" w:eastAsia="Times New Roman" w:hAnsi="Lub Dub Medium" w:cs="Segoe UI"/>
                      <w:b/>
                      <w:bCs/>
                      <w:color w:val="000000"/>
                      <w:sz w:val="20"/>
                      <w:szCs w:val="20"/>
                    </w:rPr>
                    <w:t>n</w:t>
                  </w:r>
                  <w:proofErr w:type="spellEnd"/>
                  <w:r w:rsidRPr="002D692F">
                    <w:rPr>
                      <w:rFonts w:ascii="Lub Dub Medium" w:eastAsia="Times New Roman" w:hAnsi="Lub Dub Medium" w:cs="Segoe UI"/>
                      <w:b/>
                      <w:bCs/>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ADE01"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P-trend</w:t>
                  </w:r>
                </w:p>
              </w:tc>
            </w:tr>
            <w:tr w:rsidR="00C365E4" w:rsidRPr="002D692F" w14:paraId="577A7C79" w14:textId="7777777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567BAE9"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i/>
                      <w:iCs/>
                      <w:color w:val="000000"/>
                      <w:sz w:val="18"/>
                      <w:szCs w:val="18"/>
                    </w:rPr>
                    <w:t>Cerebrovascular Lesions [Odds Ratio (95% CI)]</w:t>
                  </w:r>
                </w:p>
              </w:tc>
            </w:tr>
            <w:tr w:rsidR="00C365E4" w:rsidRPr="002D692F" w14:paraId="1D8EC8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60327"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Cortical infarcts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3B6CD"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1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8A2D3"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1.68 (0.70, 4.01)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B5604"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1.30 (0.54, 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F975E"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0.769</w:t>
                  </w:r>
                </w:p>
              </w:tc>
            </w:tr>
            <w:tr w:rsidR="00C365E4" w:rsidRPr="002D692F" w14:paraId="3FAB4EB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50198"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Lacunar Infarcts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AE3E9"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1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62442"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color w:val="000000"/>
                      <w:sz w:val="18"/>
                      <w:szCs w:val="18"/>
                    </w:rPr>
                    <w:t>1.98 (1.11, 3.56)*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9BDCF"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1.07 (0.56, 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3A0C5"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0.601</w:t>
                  </w:r>
                </w:p>
              </w:tc>
            </w:tr>
            <w:tr w:rsidR="00C365E4" w:rsidRPr="002D692F" w14:paraId="496F15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71E84"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Subcortical Microhemorrhage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A809A"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1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454D6"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0.97 (0.56, 1.73)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754C2"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0.67 (0.37, 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B6719"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0.123</w:t>
                  </w:r>
                </w:p>
              </w:tc>
            </w:tr>
            <w:tr w:rsidR="00C365E4" w:rsidRPr="002D692F" w14:paraId="33B10C1D" w14:textId="7777777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585A8FF"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i/>
                      <w:iCs/>
                      <w:color w:val="000000"/>
                      <w:sz w:val="18"/>
                      <w:szCs w:val="18"/>
                    </w:rPr>
                    <w:t>Per Standard Deviation White Matter Microstructural Integrity and White Matter Disease [Beta (95% CI)]</w:t>
                  </w:r>
                  <w:r w:rsidRPr="002D692F">
                    <w:rPr>
                      <w:rFonts w:ascii="Lub Dub Condensed" w:eastAsia="Times New Roman" w:hAnsi="Lub Dub Condensed" w:cs="Segoe UI"/>
                      <w:b/>
                      <w:bCs/>
                      <w:i/>
                      <w:iCs/>
                      <w:color w:val="000000"/>
                      <w:sz w:val="18"/>
                      <w:szCs w:val="18"/>
                      <w:vertAlign w:val="superscript"/>
                    </w:rPr>
                    <w:t>b</w:t>
                  </w:r>
                </w:p>
              </w:tc>
            </w:tr>
            <w:tr w:rsidR="00C365E4" w:rsidRPr="002D692F" w14:paraId="370972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A8755"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Mean Fractional </w:t>
                  </w:r>
                  <w:proofErr w:type="spellStart"/>
                  <w:r w:rsidRPr="002D692F">
                    <w:rPr>
                      <w:rFonts w:ascii="Lub Dub Medium" w:eastAsia="Times New Roman" w:hAnsi="Lub Dub Medium" w:cs="Segoe UI"/>
                      <w:b/>
                      <w:bCs/>
                      <w:color w:val="000000"/>
                      <w:sz w:val="20"/>
                      <w:szCs w:val="20"/>
                    </w:rPr>
                    <w:t>Anisotropy</w:t>
                  </w:r>
                  <w:r w:rsidRPr="002D692F">
                    <w:rPr>
                      <w:rFonts w:ascii="Lub Dub Medium" w:eastAsia="Times New Roman" w:hAnsi="Lub Dub Medium" w:cs="Segoe UI"/>
                      <w:b/>
                      <w:bCs/>
                      <w:color w:val="000000"/>
                      <w:sz w:val="20"/>
                      <w:szCs w:val="20"/>
                      <w:vertAlign w:val="superscript"/>
                    </w:rPr>
                    <w:t>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C9696B4"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05486"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-0.10 (-0.29, 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7906B"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-0.02 (-0.22, 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C168A"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0.971</w:t>
                  </w:r>
                </w:p>
              </w:tc>
            </w:tr>
            <w:tr w:rsidR="00C365E4" w:rsidRPr="002D692F" w14:paraId="1772A24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7734E3"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Mean </w:t>
                  </w:r>
                  <w:proofErr w:type="spellStart"/>
                  <w:r w:rsidRPr="002D692F">
                    <w:rPr>
                      <w:rFonts w:ascii="Lub Dub Medium" w:eastAsia="Times New Roman" w:hAnsi="Lub Dub Medium" w:cs="Segoe UI"/>
                      <w:b/>
                      <w:bCs/>
                      <w:color w:val="000000"/>
                      <w:sz w:val="20"/>
                      <w:szCs w:val="20"/>
                    </w:rPr>
                    <w:t>Diffusivity</w:t>
                  </w:r>
                  <w:r w:rsidRPr="002D692F">
                    <w:rPr>
                      <w:rFonts w:ascii="Lub Dub Medium" w:eastAsia="Times New Roman" w:hAnsi="Lub Dub Medium" w:cs="Segoe UI"/>
                      <w:b/>
                      <w:bCs/>
                      <w:color w:val="000000"/>
                      <w:sz w:val="20"/>
                      <w:szCs w:val="20"/>
                      <w:vertAlign w:val="superscript"/>
                    </w:rPr>
                    <w:t>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8349CE9"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49C8C"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0.03 (-0.11, 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6564A"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-0.03 (-0.19, 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92DE6"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0.550</w:t>
                  </w:r>
                </w:p>
              </w:tc>
            </w:tr>
            <w:tr w:rsidR="00C365E4" w:rsidRPr="002D692F" w14:paraId="362FAB6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C94455"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log (WMH volume)</w:t>
                  </w:r>
                  <w:r w:rsidRPr="002D692F">
                    <w:rPr>
                      <w:rFonts w:ascii="Lub Dub Medium" w:eastAsia="Times New Roman" w:hAnsi="Lub Dub Medium" w:cs="Segoe UI"/>
                      <w:b/>
                      <w:bCs/>
                      <w:color w:val="000000"/>
                      <w:sz w:val="20"/>
                      <w:szCs w:val="20"/>
                      <w:vertAlign w:val="superscript"/>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F3AFB"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6A1AD"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0.10 (-0.08, 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5324E"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0.09 (-0.13, 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7A69D"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0.513</w:t>
                  </w:r>
                </w:p>
              </w:tc>
            </w:tr>
            <w:tr w:rsidR="00C365E4" w:rsidRPr="002D692F" w14:paraId="1DD933C8" w14:textId="7777777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DD05EFF"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i/>
                      <w:iCs/>
                      <w:color w:val="000000"/>
                      <w:sz w:val="18"/>
                      <w:szCs w:val="18"/>
                    </w:rPr>
                    <w:t>Per Standard Deviation Grey Matter Volume [Beta (95% CI)]</w:t>
                  </w:r>
                  <w:r w:rsidRPr="002D692F">
                    <w:rPr>
                      <w:rFonts w:ascii="Lub Dub Condensed" w:eastAsia="Times New Roman" w:hAnsi="Lub Dub Condensed" w:cs="Segoe UI"/>
                      <w:b/>
                      <w:bCs/>
                      <w:i/>
                      <w:iCs/>
                      <w:color w:val="000000"/>
                      <w:sz w:val="18"/>
                      <w:szCs w:val="18"/>
                      <w:vertAlign w:val="superscript"/>
                    </w:rPr>
                    <w:t>b</w:t>
                  </w:r>
                </w:p>
              </w:tc>
            </w:tr>
            <w:tr w:rsidR="00C365E4" w:rsidRPr="002D692F" w14:paraId="48C374C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43CA6"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Total </w:t>
                  </w:r>
                  <w:proofErr w:type="spellStart"/>
                  <w:r w:rsidRPr="002D692F">
                    <w:rPr>
                      <w:rFonts w:ascii="Lub Dub Medium" w:eastAsia="Times New Roman" w:hAnsi="Lub Dub Medium" w:cs="Segoe UI"/>
                      <w:b/>
                      <w:bCs/>
                      <w:color w:val="000000"/>
                      <w:sz w:val="20"/>
                      <w:szCs w:val="20"/>
                    </w:rPr>
                    <w:t>Cortical</w:t>
                  </w:r>
                  <w:r w:rsidRPr="002D692F">
                    <w:rPr>
                      <w:rFonts w:ascii="Lub Dub Medium" w:eastAsia="Times New Roman" w:hAnsi="Lub Dub Medium" w:cs="Segoe UI"/>
                      <w:b/>
                      <w:bCs/>
                      <w:color w:val="000000"/>
                      <w:sz w:val="20"/>
                      <w:szCs w:val="20"/>
                      <w:vertAlign w:val="superscript"/>
                    </w:rPr>
                    <w:t>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7B7809A"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D54AF"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-0.06 (-0.16, 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69503"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-0.001 (-0.11, 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F9351"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0.810</w:t>
                  </w:r>
                </w:p>
              </w:tc>
            </w:tr>
            <w:tr w:rsidR="00C365E4" w:rsidRPr="002D692F" w14:paraId="158834D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2B9ED"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Temporal Lobe Meta </w:t>
                  </w:r>
                  <w:proofErr w:type="spellStart"/>
                  <w:r w:rsidRPr="002D692F">
                    <w:rPr>
                      <w:rFonts w:ascii="Lub Dub Medium" w:eastAsia="Times New Roman" w:hAnsi="Lub Dub Medium" w:cs="Segoe UI"/>
                      <w:b/>
                      <w:bCs/>
                      <w:color w:val="000000"/>
                      <w:sz w:val="20"/>
                      <w:szCs w:val="20"/>
                    </w:rPr>
                    <w:t>ROI</w:t>
                  </w:r>
                  <w:r w:rsidRPr="002D692F">
                    <w:rPr>
                      <w:rFonts w:ascii="Lub Dub Medium" w:eastAsia="Times New Roman" w:hAnsi="Lub Dub Medium" w:cs="Segoe UI"/>
                      <w:b/>
                      <w:bCs/>
                      <w:color w:val="000000"/>
                      <w:sz w:val="20"/>
                      <w:szCs w:val="20"/>
                      <w:vertAlign w:val="superscript"/>
                    </w:rPr>
                    <w:t>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F837A36"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43D8A"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-0.01 (-0.13, 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99B64"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0.01 (-0.12, 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B3760"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sz w:val="20"/>
                      <w:szCs w:val="20"/>
                    </w:rPr>
                    <w:t>0.825</w:t>
                  </w:r>
                </w:p>
              </w:tc>
            </w:tr>
            <w:tr w:rsidR="00C365E4" w:rsidRPr="002D692F" w14:paraId="7463A33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0FE12"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Deep Gray </w:t>
                  </w:r>
                  <w:proofErr w:type="spellStart"/>
                  <w:r w:rsidRPr="002D692F">
                    <w:rPr>
                      <w:rFonts w:ascii="Lub Dub Medium" w:eastAsia="Times New Roman" w:hAnsi="Lub Dub Medium" w:cs="Segoe UI"/>
                      <w:b/>
                      <w:bCs/>
                      <w:color w:val="000000"/>
                      <w:sz w:val="20"/>
                      <w:szCs w:val="20"/>
                    </w:rPr>
                    <w:t>Matter</w:t>
                  </w:r>
                  <w:r w:rsidRPr="002D692F">
                    <w:rPr>
                      <w:rFonts w:ascii="Lub Dub Medium" w:eastAsia="Times New Roman" w:hAnsi="Lub Dub Medium" w:cs="Segoe UI"/>
                      <w:b/>
                      <w:bCs/>
                      <w:color w:val="000000"/>
                      <w:sz w:val="20"/>
                      <w:szCs w:val="20"/>
                      <w:vertAlign w:val="superscript"/>
                    </w:rPr>
                    <w:t>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4FFAEB7"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0 (Ref)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E6278"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b/>
                      <w:bCs/>
                      <w:color w:val="000000"/>
                      <w:sz w:val="18"/>
                      <w:szCs w:val="18"/>
                    </w:rPr>
                    <w:t>-0.16 (-0.30, -0.02)*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47415"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-0.17 (-0.31, -0.03)*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5FEFA"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color w:val="000000"/>
                      <w:sz w:val="20"/>
                      <w:szCs w:val="20"/>
                    </w:rPr>
                    <w:t xml:space="preserve">0.029 </w:t>
                  </w:r>
                </w:p>
              </w:tc>
            </w:tr>
            <w:tr w:rsidR="00C365E4" w:rsidRPr="002D692F" w14:paraId="534AA63A" w14:textId="7777777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D7A98F4" w14:textId="77777777" w:rsidR="00C365E4" w:rsidRPr="002D692F" w:rsidRDefault="00C365E4" w:rsidP="00C365E4">
                  <w:pPr>
                    <w:spacing w:after="0" w:line="280" w:lineRule="atLeast"/>
                    <w:rPr>
                      <w:rFonts w:ascii="Lub Dub Condensed" w:eastAsia="Times New Roman" w:hAnsi="Lub Dub Condensed" w:cs="Segoe UI"/>
                      <w:color w:val="000000"/>
                      <w:sz w:val="18"/>
                      <w:szCs w:val="18"/>
                    </w:rPr>
                  </w:pPr>
                  <w:r w:rsidRPr="002D692F">
                    <w:rPr>
                      <w:rFonts w:ascii="Lub Dub Condensed" w:eastAsia="Times New Roman" w:hAnsi="Lub Dub Condensed" w:cs="Segoe UI"/>
                      <w:color w:val="000000"/>
                      <w:sz w:val="18"/>
                      <w:szCs w:val="18"/>
                    </w:rPr>
                    <w:t xml:space="preserve">CI=Confidence Interval; Ref=Reference; ROI=Regions of Interest; WMH=White Matter </w:t>
                  </w:r>
                  <w:proofErr w:type="spellStart"/>
                  <w:r w:rsidRPr="002D692F">
                    <w:rPr>
                      <w:rFonts w:ascii="Lub Dub Condensed" w:eastAsia="Times New Roman" w:hAnsi="Lub Dub Condensed" w:cs="Segoe UI"/>
                      <w:color w:val="000000"/>
                      <w:sz w:val="18"/>
                      <w:szCs w:val="18"/>
                    </w:rPr>
                    <w:t>HyperintensityAdjusted</w:t>
                  </w:r>
                  <w:proofErr w:type="spellEnd"/>
                  <w:r w:rsidRPr="002D692F">
                    <w:rPr>
                      <w:rFonts w:ascii="Lub Dub Condensed" w:eastAsia="Times New Roman" w:hAnsi="Lub Dub Condensed" w:cs="Segoe UI"/>
                      <w:color w:val="000000"/>
                      <w:sz w:val="18"/>
                      <w:szCs w:val="18"/>
                    </w:rPr>
                    <w:t xml:space="preserve"> for age, race-center, sex, education, APOE-</w:t>
                  </w:r>
                  <w:r w:rsidRPr="002D692F">
                    <w:rPr>
                      <w:rFonts w:ascii="Arial" w:eastAsia="Times New Roman" w:hAnsi="Arial" w:cs="Arial"/>
                      <w:color w:val="000000"/>
                      <w:sz w:val="18"/>
                      <w:szCs w:val="18"/>
                    </w:rPr>
                    <w:t>ɛ</w:t>
                  </w:r>
                  <w:r w:rsidRPr="002D692F">
                    <w:rPr>
                      <w:rFonts w:ascii="Lub Dub Condensed" w:eastAsia="Times New Roman" w:hAnsi="Lub Dub Condensed" w:cs="Segoe UI"/>
                      <w:color w:val="000000"/>
                      <w:sz w:val="18"/>
                      <w:szCs w:val="18"/>
                    </w:rPr>
                    <w:t>4, smoking status (ever vs. never), intracranial volume in volumetric analyses * Bolded estimates indicate p&lt;0.05</w:t>
                  </w:r>
                  <w:r w:rsidRPr="002D692F">
                    <w:rPr>
                      <w:rFonts w:ascii="Lub Dub Condensed" w:eastAsia="Times New Roman" w:hAnsi="Lub Dub Condensed" w:cs="Segoe UI"/>
                      <w:b/>
                      <w:bCs/>
                      <w:color w:val="000000"/>
                      <w:sz w:val="18"/>
                      <w:szCs w:val="18"/>
                      <w:vertAlign w:val="superscript"/>
                    </w:rPr>
                    <w:t>a</w:t>
                  </w:r>
                  <w:r w:rsidRPr="002D692F">
                    <w:rPr>
                      <w:rFonts w:ascii="Lub Dub Condensed" w:eastAsia="Times New Roman" w:hAnsi="Lub Dub Condensed" w:cs="Segoe UI"/>
                      <w:color w:val="000000"/>
                      <w:sz w:val="18"/>
                      <w:szCs w:val="18"/>
                    </w:rPr>
                    <w:t>1 standard deviation= Total Cortical: 42.20 cm</w:t>
                  </w:r>
                  <w:r w:rsidRPr="002D692F">
                    <w:rPr>
                      <w:rFonts w:ascii="Lub Dub Condensed" w:eastAsia="Times New Roman" w:hAnsi="Lub Dub Condensed" w:cs="Segoe UI"/>
                      <w:color w:val="000000"/>
                      <w:sz w:val="18"/>
                      <w:szCs w:val="18"/>
                      <w:vertAlign w:val="superscript"/>
                    </w:rPr>
                    <w:t>3</w:t>
                  </w:r>
                  <w:r w:rsidRPr="002D692F">
                    <w:rPr>
                      <w:rFonts w:ascii="Lub Dub Condensed" w:eastAsia="Times New Roman" w:hAnsi="Lub Dub Condensed" w:cs="Segoe UI"/>
                      <w:color w:val="000000"/>
                      <w:sz w:val="18"/>
                      <w:szCs w:val="18"/>
                    </w:rPr>
                    <w:t>; Temporal Lobe Meta Regions of Interest (ROI): 6.88 cm</w:t>
                  </w:r>
                  <w:r w:rsidRPr="002D692F">
                    <w:rPr>
                      <w:rFonts w:ascii="Lub Dub Condensed" w:eastAsia="Times New Roman" w:hAnsi="Lub Dub Condensed" w:cs="Segoe UI"/>
                      <w:color w:val="000000"/>
                      <w:sz w:val="18"/>
                      <w:szCs w:val="18"/>
                      <w:vertAlign w:val="superscript"/>
                    </w:rPr>
                    <w:t>3</w:t>
                  </w:r>
                  <w:r w:rsidRPr="002D692F">
                    <w:rPr>
                      <w:rFonts w:ascii="Lub Dub Condensed" w:eastAsia="Times New Roman" w:hAnsi="Lub Dub Condensed" w:cs="Segoe UI"/>
                      <w:color w:val="000000"/>
                      <w:sz w:val="18"/>
                      <w:szCs w:val="18"/>
                    </w:rPr>
                    <w:t>; Deep Gray Matter: 4.25 cm</w:t>
                  </w:r>
                  <w:r w:rsidRPr="002D692F">
                    <w:rPr>
                      <w:rFonts w:ascii="Lub Dub Condensed" w:eastAsia="Times New Roman" w:hAnsi="Lub Dub Condensed" w:cs="Segoe UI"/>
                      <w:color w:val="000000"/>
                      <w:sz w:val="18"/>
                      <w:szCs w:val="18"/>
                      <w:vertAlign w:val="superscript"/>
                    </w:rPr>
                    <w:t>3</w:t>
                  </w:r>
                  <w:r w:rsidRPr="002D692F">
                    <w:rPr>
                      <w:rFonts w:ascii="Lub Dub Condensed" w:eastAsia="Times New Roman" w:hAnsi="Lub Dub Condensed" w:cs="Segoe UI"/>
                      <w:color w:val="000000"/>
                      <w:sz w:val="18"/>
                      <w:szCs w:val="18"/>
                    </w:rPr>
                    <w:t>; log (WMH Volume): 0.88; Mean fractional anisotropy: 0.020374; Mean diffusivity: 0.0000529</w:t>
                  </w:r>
                  <w:r w:rsidRPr="002D692F">
                    <w:rPr>
                      <w:rFonts w:ascii="Lub Dub Condensed" w:eastAsia="Times New Roman" w:hAnsi="Lub Dub Condensed" w:cs="Segoe UI"/>
                      <w:b/>
                      <w:bCs/>
                      <w:color w:val="000000"/>
                      <w:sz w:val="18"/>
                      <w:szCs w:val="18"/>
                      <w:vertAlign w:val="superscript"/>
                    </w:rPr>
                    <w:t>b</w:t>
                  </w:r>
                  <w:r w:rsidRPr="002D692F">
                    <w:rPr>
                      <w:rFonts w:ascii="Lub Dub Condensed" w:eastAsia="Times New Roman" w:hAnsi="Lub Dub Condensed" w:cs="Segoe UI"/>
                      <w:color w:val="000000"/>
                      <w:sz w:val="18"/>
                      <w:szCs w:val="18"/>
                    </w:rPr>
                    <w:t>1 standard deviation= Total Cortical: 40.93 cm</w:t>
                  </w:r>
                  <w:r w:rsidRPr="002D692F">
                    <w:rPr>
                      <w:rFonts w:ascii="Lub Dub Condensed" w:eastAsia="Times New Roman" w:hAnsi="Lub Dub Condensed" w:cs="Segoe UI"/>
                      <w:color w:val="000000"/>
                      <w:sz w:val="18"/>
                      <w:szCs w:val="18"/>
                      <w:vertAlign w:val="superscript"/>
                    </w:rPr>
                    <w:t>3</w:t>
                  </w:r>
                  <w:r w:rsidRPr="002D692F">
                    <w:rPr>
                      <w:rFonts w:ascii="Lub Dub Condensed" w:eastAsia="Times New Roman" w:hAnsi="Lub Dub Condensed" w:cs="Segoe UI"/>
                      <w:color w:val="000000"/>
                      <w:sz w:val="18"/>
                      <w:szCs w:val="18"/>
                    </w:rPr>
                    <w:t>; Temporal Lobe Meta Regions of Interest (ROI): 6.64 cm</w:t>
                  </w:r>
                  <w:r w:rsidRPr="002D692F">
                    <w:rPr>
                      <w:rFonts w:ascii="Lub Dub Condensed" w:eastAsia="Times New Roman" w:hAnsi="Lub Dub Condensed" w:cs="Segoe UI"/>
                      <w:color w:val="000000"/>
                      <w:sz w:val="18"/>
                      <w:szCs w:val="18"/>
                      <w:vertAlign w:val="superscript"/>
                    </w:rPr>
                    <w:t>3</w:t>
                  </w:r>
                  <w:r w:rsidRPr="002D692F">
                    <w:rPr>
                      <w:rFonts w:ascii="Lub Dub Condensed" w:eastAsia="Times New Roman" w:hAnsi="Lub Dub Condensed" w:cs="Segoe UI"/>
                      <w:color w:val="000000"/>
                      <w:sz w:val="18"/>
                      <w:szCs w:val="18"/>
                    </w:rPr>
                    <w:t>; Deep Gray Matter: 4.22 cm</w:t>
                  </w:r>
                  <w:r w:rsidRPr="002D692F">
                    <w:rPr>
                      <w:rFonts w:ascii="Lub Dub Condensed" w:eastAsia="Times New Roman" w:hAnsi="Lub Dub Condensed" w:cs="Segoe UI"/>
                      <w:color w:val="000000"/>
                      <w:sz w:val="18"/>
                      <w:szCs w:val="18"/>
                      <w:vertAlign w:val="superscript"/>
                    </w:rPr>
                    <w:t>3</w:t>
                  </w:r>
                  <w:r w:rsidRPr="002D692F">
                    <w:rPr>
                      <w:rFonts w:ascii="Lub Dub Condensed" w:eastAsia="Times New Roman" w:hAnsi="Lub Dub Condensed" w:cs="Segoe UI"/>
                      <w:color w:val="000000"/>
                      <w:sz w:val="18"/>
                      <w:szCs w:val="18"/>
                    </w:rPr>
                    <w:t>; log (WMH Volume): 0.90; Mean fractional anisotropy: 0.0206098; Mean diffusivity: 0.000053</w:t>
                  </w:r>
                </w:p>
              </w:tc>
            </w:tr>
          </w:tbl>
          <w:p w14:paraId="71D7D3E3" w14:textId="77777777" w:rsidR="00C365E4" w:rsidRPr="002D692F" w:rsidRDefault="00C365E4" w:rsidP="00C365E4">
            <w:pPr>
              <w:spacing w:after="0" w:line="280" w:lineRule="atLeast"/>
              <w:rPr>
                <w:rFonts w:ascii="Lub Dub Medium" w:eastAsia="Times New Roman" w:hAnsi="Lub Dub Medium" w:cs="Segoe UI"/>
                <w:color w:val="000000"/>
                <w:sz w:val="20"/>
                <w:szCs w:val="20"/>
              </w:rPr>
            </w:pPr>
          </w:p>
        </w:tc>
      </w:tr>
    </w:tbl>
    <w:p w14:paraId="51705B31" w14:textId="350AD0FB" w:rsidR="00C365E4" w:rsidRPr="002D692F" w:rsidRDefault="00C365E4" w:rsidP="00C365E4">
      <w:pPr>
        <w:spacing w:after="0" w:line="280" w:lineRule="atLeast"/>
        <w:rPr>
          <w:rFonts w:ascii="Lub Dub Medium" w:eastAsia="Times New Roman" w:hAnsi="Lub Dub Medium" w:cs="Segoe UI"/>
          <w:color w:val="000000"/>
          <w:sz w:val="20"/>
          <w:szCs w:val="20"/>
          <w:lang w:val="en"/>
        </w:rPr>
      </w:pPr>
    </w:p>
    <w:p w14:paraId="5E673925" w14:textId="77777777" w:rsidR="00C365E4" w:rsidRPr="002D692F" w:rsidRDefault="00C365E4" w:rsidP="00C365E4">
      <w:pPr>
        <w:spacing w:after="0" w:line="280" w:lineRule="atLeast"/>
        <w:rPr>
          <w:rFonts w:ascii="Lub Dub Medium" w:eastAsia="Times New Roman" w:hAnsi="Lub Dub Medium" w:cs="Segoe UI"/>
          <w:b/>
          <w:bCs/>
          <w:color w:val="336699"/>
          <w:sz w:val="20"/>
          <w:szCs w:val="20"/>
          <w:lang w:val="en"/>
        </w:rPr>
      </w:pPr>
      <w:r w:rsidRPr="002D692F">
        <w:rPr>
          <w:rFonts w:ascii="Lub Dub Medium" w:eastAsia="Times New Roman" w:hAnsi="Lub Dub Medium" w:cs="Segoe UI"/>
          <w:b/>
          <w:bCs/>
          <w:color w:val="336699"/>
          <w:sz w:val="20"/>
          <w:szCs w:val="20"/>
          <w:lang w:val="en"/>
        </w:rPr>
        <w:t>Author Block</w:t>
      </w:r>
    </w:p>
    <w:p w14:paraId="3908322F" w14:textId="02A42811" w:rsidR="00C365E4" w:rsidRDefault="00C365E4" w:rsidP="002D692F">
      <w:pPr>
        <w:spacing w:after="0" w:line="280" w:lineRule="atLeast"/>
        <w:rPr>
          <w:rFonts w:ascii="Lub Dub Medium" w:eastAsia="Times New Roman" w:hAnsi="Lub Dub Medium" w:cs="Segoe UI"/>
          <w:color w:val="000000"/>
          <w:sz w:val="20"/>
          <w:szCs w:val="20"/>
          <w:lang w:val="en"/>
        </w:rPr>
      </w:pPr>
      <w:r w:rsidRPr="002D692F">
        <w:rPr>
          <w:rFonts w:ascii="Lub Dub Medium" w:eastAsia="Times New Roman" w:hAnsi="Lub Dub Medium" w:cs="Segoe UI"/>
          <w:b/>
          <w:bCs/>
          <w:color w:val="000000"/>
          <w:sz w:val="20"/>
          <w:szCs w:val="20"/>
          <w:lang w:val="en"/>
        </w:rPr>
        <w:lastRenderedPageBreak/>
        <w:t>Kelley Pettee Gabriel</w:t>
      </w:r>
      <w:r w:rsidRPr="002D692F">
        <w:rPr>
          <w:rFonts w:ascii="Lub Dub Medium" w:eastAsia="Times New Roman" w:hAnsi="Lub Dub Medium" w:cs="Segoe UI"/>
          <w:color w:val="000000"/>
          <w:sz w:val="20"/>
          <w:szCs w:val="20"/>
          <w:lang w:val="en"/>
        </w:rPr>
        <w:t xml:space="preserve">, UAB Sch of Public Health, Birmingham, AL; Keith Diaz, Columbia Univ Medical Ctr, New York, NY; Aarti Kumar, Columbia Univ Medical Ctr, New York, NY, New York, NY; A Richey Sharrett Sr., JOHN HOPKINS UNIV, Baltimore, MD; Kelly R Evenson, UNC Dept of Epidemiology, Chapel Hill, NC; Rebecca F Gottesman, JOHNS HOPKINS UNIVERSITY, Baltimore, MD; Thomas Mosley Jr., UNIV MS MEDICAL CTR, Jackson, MS; Gerardo M </w:t>
      </w:r>
      <w:proofErr w:type="spellStart"/>
      <w:r w:rsidRPr="002D692F">
        <w:rPr>
          <w:rFonts w:ascii="Lub Dub Medium" w:eastAsia="Times New Roman" w:hAnsi="Lub Dub Medium" w:cs="Segoe UI"/>
          <w:color w:val="000000"/>
          <w:sz w:val="20"/>
          <w:szCs w:val="20"/>
          <w:lang w:val="en"/>
        </w:rPr>
        <w:t>Heiss</w:t>
      </w:r>
      <w:proofErr w:type="spellEnd"/>
      <w:r w:rsidRPr="002D692F">
        <w:rPr>
          <w:rFonts w:ascii="Lub Dub Medium" w:eastAsia="Times New Roman" w:hAnsi="Lub Dub Medium" w:cs="Segoe UI"/>
          <w:color w:val="000000"/>
          <w:sz w:val="20"/>
          <w:szCs w:val="20"/>
          <w:lang w:val="en"/>
        </w:rPr>
        <w:t>, UNIVERSITY NORTH CAROLINA, Chapel Hill, NC; Priya Palta, Columbia Univ Medical Ctr, New York, NY</w:t>
      </w:r>
    </w:p>
    <w:p w14:paraId="6EA1BB70" w14:textId="0A2CAFA0" w:rsidR="002D692F" w:rsidRDefault="002D692F" w:rsidP="002D692F">
      <w:pPr>
        <w:spacing w:after="0" w:line="280" w:lineRule="atLeast"/>
        <w:rPr>
          <w:rFonts w:ascii="Lub Dub Medium" w:eastAsia="Times New Roman" w:hAnsi="Lub Dub Medium" w:cs="Segoe UI"/>
          <w:color w:val="000000"/>
          <w:sz w:val="20"/>
          <w:szCs w:val="20"/>
          <w:lang w:val="en"/>
        </w:rPr>
      </w:pPr>
    </w:p>
    <w:p w14:paraId="2A2E2473" w14:textId="63FEE959" w:rsidR="002D692F" w:rsidRDefault="002D692F">
      <w:pPr>
        <w:rPr>
          <w:rFonts w:ascii="Lub Dub Medium" w:eastAsia="Times New Roman" w:hAnsi="Lub Dub Medium" w:cs="Segoe UI"/>
          <w:color w:val="000000"/>
          <w:sz w:val="20"/>
          <w:szCs w:val="20"/>
          <w:lang w:val="en"/>
        </w:rPr>
      </w:pPr>
      <w:r>
        <w:rPr>
          <w:rFonts w:ascii="Lub Dub Medium" w:eastAsia="Times New Roman" w:hAnsi="Lub Dub Medium" w:cs="Segoe UI"/>
          <w:color w:val="000000"/>
          <w:sz w:val="20"/>
          <w:szCs w:val="20"/>
          <w:lang w:val="en"/>
        </w:rPr>
        <w:br w:type="page"/>
      </w:r>
    </w:p>
    <w:p w14:paraId="00245A54" w14:textId="0DAA031D" w:rsidR="002D692F" w:rsidRDefault="002D692F" w:rsidP="002D692F">
      <w:pPr>
        <w:spacing w:after="0" w:line="280" w:lineRule="atLeast"/>
        <w:rPr>
          <w:rFonts w:ascii="Lub Dub Medium" w:eastAsia="Times New Roman" w:hAnsi="Lub Dub Medium" w:cs="Segoe UI"/>
          <w:color w:val="000000"/>
          <w:sz w:val="20"/>
          <w:szCs w:val="20"/>
          <w:lang w:val="en"/>
        </w:rPr>
      </w:pPr>
    </w:p>
    <w:p w14:paraId="4E4624A9" w14:textId="73F94748" w:rsidR="002D692F" w:rsidRDefault="002D692F" w:rsidP="002D692F">
      <w:pPr>
        <w:spacing w:after="0" w:line="280" w:lineRule="atLeast"/>
        <w:rPr>
          <w:rFonts w:ascii="Lub Dub Medium" w:eastAsia="Times New Roman" w:hAnsi="Lub Dub Medium" w:cs="Segoe UI"/>
          <w:color w:val="000000"/>
          <w:sz w:val="20"/>
          <w:szCs w:val="20"/>
          <w:lang w:val="en"/>
        </w:rPr>
      </w:pPr>
    </w:p>
    <w:p w14:paraId="3D308A0B" w14:textId="77777777" w:rsidR="002D692F" w:rsidRPr="002D692F" w:rsidRDefault="002D692F" w:rsidP="002D692F">
      <w:pPr>
        <w:spacing w:after="0" w:line="280" w:lineRule="atLeast"/>
        <w:rPr>
          <w:rFonts w:ascii="Lub Dub Medium" w:eastAsia="Times New Roman" w:hAnsi="Lub Dub Medium" w:cs="Segoe UI"/>
          <w:color w:val="000000"/>
          <w:sz w:val="20"/>
          <w:szCs w:val="20"/>
          <w:lang w:val="en"/>
        </w:rPr>
      </w:pPr>
    </w:p>
    <w:p w14:paraId="0BDB99BF" w14:textId="1D269344" w:rsidR="002D692F" w:rsidRPr="002D692F" w:rsidRDefault="002D692F" w:rsidP="002D692F">
      <w:pPr>
        <w:spacing w:after="0" w:line="240" w:lineRule="auto"/>
        <w:rPr>
          <w:rFonts w:ascii="Lub Dub Medium" w:hAnsi="Lub Dub Medium"/>
          <w:b/>
          <w:sz w:val="20"/>
          <w:szCs w:val="20"/>
        </w:rPr>
      </w:pPr>
      <w:r w:rsidRPr="002D692F">
        <w:rPr>
          <w:rFonts w:ascii="Lub Dub Medium" w:eastAsia="Arial" w:hAnsi="Lub Dub Medium" w:cs="Arial"/>
          <w:b/>
          <w:noProof/>
          <w:sz w:val="20"/>
          <w:szCs w:val="20"/>
        </w:rPr>
        <w:drawing>
          <wp:anchor distT="0" distB="0" distL="114300" distR="114300" simplePos="0" relativeHeight="251660288" behindDoc="0" locked="0" layoutInCell="1" allowOverlap="1" wp14:anchorId="6BEC66C0" wp14:editId="45B8A25D">
            <wp:simplePos x="0" y="0"/>
            <wp:positionH relativeFrom="margin">
              <wp:align>left</wp:align>
            </wp:positionH>
            <wp:positionV relativeFrom="paragraph">
              <wp:posOffset>-510540</wp:posOffset>
            </wp:positionV>
            <wp:extent cx="3718560" cy="868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EPIL_LOGO_RGB-HEX_r+k-sm.jpg"/>
                    <pic:cNvPicPr/>
                  </pic:nvPicPr>
                  <pic:blipFill>
                    <a:blip r:embed="rId4">
                      <a:extLst>
                        <a:ext uri="{28A0092B-C50C-407E-A947-70E740481C1C}">
                          <a14:useLocalDpi xmlns:a14="http://schemas.microsoft.com/office/drawing/2010/main" val="0"/>
                        </a:ext>
                      </a:extLst>
                    </a:blip>
                    <a:stretch>
                      <a:fillRect/>
                    </a:stretch>
                  </pic:blipFill>
                  <pic:spPr>
                    <a:xfrm>
                      <a:off x="0" y="0"/>
                      <a:ext cx="3718560" cy="868680"/>
                    </a:xfrm>
                    <a:prstGeom prst="rect">
                      <a:avLst/>
                    </a:prstGeom>
                  </pic:spPr>
                </pic:pic>
              </a:graphicData>
            </a:graphic>
          </wp:anchor>
        </w:drawing>
      </w:r>
    </w:p>
    <w:p w14:paraId="2FC011D9" w14:textId="77777777" w:rsidR="002D692F" w:rsidRPr="002D692F" w:rsidRDefault="002D692F" w:rsidP="002D692F">
      <w:pPr>
        <w:spacing w:after="0" w:line="240" w:lineRule="auto"/>
        <w:rPr>
          <w:rFonts w:ascii="Lub Dub Medium" w:hAnsi="Lub Dub Medium"/>
          <w:b/>
          <w:sz w:val="20"/>
          <w:szCs w:val="20"/>
        </w:rPr>
      </w:pPr>
    </w:p>
    <w:p w14:paraId="3C867CD2" w14:textId="3DB61CE8" w:rsidR="002D692F" w:rsidRPr="002D692F" w:rsidRDefault="002D692F" w:rsidP="002D692F">
      <w:pPr>
        <w:spacing w:after="0" w:line="240" w:lineRule="auto"/>
        <w:rPr>
          <w:rFonts w:ascii="Lub Dub Medium" w:hAnsi="Lub Dub Medium"/>
          <w:b/>
          <w:sz w:val="20"/>
          <w:szCs w:val="20"/>
        </w:rPr>
      </w:pPr>
    </w:p>
    <w:p w14:paraId="76798BBF" w14:textId="1A5A167C" w:rsidR="002D692F" w:rsidRPr="002D692F" w:rsidRDefault="002D692F" w:rsidP="002D692F">
      <w:pPr>
        <w:spacing w:after="0" w:line="240" w:lineRule="auto"/>
        <w:rPr>
          <w:rFonts w:ascii="Lub Dub Medium" w:hAnsi="Lub Dub Medium"/>
          <w:b/>
          <w:sz w:val="20"/>
          <w:szCs w:val="20"/>
        </w:rPr>
      </w:pPr>
      <w:r w:rsidRPr="002D692F">
        <w:rPr>
          <w:rFonts w:ascii="Lub Dub Medium" w:hAnsi="Lub Dub Medium"/>
          <w:b/>
          <w:sz w:val="20"/>
          <w:szCs w:val="20"/>
        </w:rPr>
        <w:t xml:space="preserve">EPI21 News Release </w:t>
      </w:r>
    </w:p>
    <w:p w14:paraId="2FF30E08" w14:textId="48EF2A8B" w:rsidR="002D692F" w:rsidRPr="002D692F" w:rsidRDefault="002D692F" w:rsidP="002D692F">
      <w:pPr>
        <w:spacing w:after="0" w:line="240" w:lineRule="auto"/>
        <w:rPr>
          <w:rFonts w:ascii="Lub Dub Medium" w:eastAsia="Times New Roman" w:hAnsi="Lub Dub Medium" w:cs="Segoe UI"/>
          <w:b/>
          <w:bCs/>
          <w:sz w:val="20"/>
          <w:szCs w:val="20"/>
        </w:rPr>
      </w:pPr>
      <w:r w:rsidRPr="002D692F">
        <w:rPr>
          <w:rFonts w:ascii="Lub Dub Medium" w:eastAsia="Times New Roman" w:hAnsi="Lub Dub Medium" w:cs="Segoe UI"/>
          <w:b/>
          <w:bCs/>
          <w:sz w:val="20"/>
          <w:szCs w:val="20"/>
        </w:rPr>
        <w:t xml:space="preserve">Presentation </w:t>
      </w:r>
      <w:r w:rsidRPr="00DD22A6">
        <w:rPr>
          <w:rFonts w:ascii="Lub Dub Medium" w:eastAsia="Times New Roman" w:hAnsi="Lub Dub Medium" w:cs="Segoe UI"/>
          <w:b/>
          <w:bCs/>
          <w:sz w:val="20"/>
          <w:szCs w:val="20"/>
          <w:highlight w:val="yellow"/>
        </w:rPr>
        <w:t>#</w:t>
      </w:r>
      <w:r w:rsidR="00DD22A6" w:rsidRPr="00DD22A6">
        <w:rPr>
          <w:rFonts w:ascii="Lub Dub Medium" w:eastAsia="Times New Roman" w:hAnsi="Lub Dub Medium" w:cs="Segoe UI"/>
          <w:b/>
          <w:bCs/>
          <w:sz w:val="20"/>
          <w:szCs w:val="20"/>
          <w:highlight w:val="yellow"/>
        </w:rPr>
        <w:t>P149</w:t>
      </w:r>
    </w:p>
    <w:p w14:paraId="1A6E1543" w14:textId="77777777" w:rsidR="002D692F" w:rsidRPr="002D692F" w:rsidRDefault="002D692F" w:rsidP="002D692F">
      <w:pPr>
        <w:spacing w:after="0" w:line="240" w:lineRule="auto"/>
        <w:rPr>
          <w:rFonts w:ascii="Lub Dub Medium" w:eastAsia="Times New Roman" w:hAnsi="Lub Dub Medium" w:cs="Segoe UI"/>
          <w:b/>
          <w:bCs/>
          <w:color w:val="C00000"/>
          <w:sz w:val="20"/>
          <w:szCs w:val="20"/>
        </w:rPr>
      </w:pPr>
      <w:r w:rsidRPr="002D692F">
        <w:rPr>
          <w:rFonts w:ascii="Lub Dub Medium" w:hAnsi="Lub Dub Medium"/>
          <w:b/>
          <w:bCs/>
          <w:color w:val="C00000"/>
          <w:sz w:val="20"/>
          <w:szCs w:val="20"/>
        </w:rPr>
        <w:t>Embargoed until 10 a.m. CT/ 11 a.m. ET, Thursday, May 20, 2021</w:t>
      </w:r>
    </w:p>
    <w:p w14:paraId="0C326257" w14:textId="5AD4C69A" w:rsidR="002D692F" w:rsidRPr="004C4BED" w:rsidRDefault="002D692F" w:rsidP="002D692F">
      <w:pPr>
        <w:spacing w:after="0" w:line="280" w:lineRule="atLeast"/>
        <w:rPr>
          <w:rFonts w:ascii="Lub Dub Medium" w:eastAsia="Times New Roman" w:hAnsi="Lub Dub Medium" w:cs="Segoe UI"/>
          <w:b/>
          <w:bCs/>
          <w:color w:val="000000" w:themeColor="text1"/>
          <w:sz w:val="20"/>
          <w:szCs w:val="20"/>
          <w:lang w:val="en"/>
        </w:rPr>
      </w:pPr>
    </w:p>
    <w:p w14:paraId="70D0FB17" w14:textId="77777777" w:rsidR="004C4BED" w:rsidRPr="00153C24" w:rsidRDefault="004C4BED" w:rsidP="004C4BED">
      <w:pPr>
        <w:pStyle w:val="pf0"/>
        <w:spacing w:before="0" w:beforeAutospacing="0" w:after="0" w:afterAutospacing="0"/>
        <w:rPr>
          <w:rFonts w:ascii="Lub Dub Medium" w:hAnsi="Lub Dub Medium" w:cs="Arial"/>
          <w:sz w:val="20"/>
          <w:szCs w:val="20"/>
        </w:rPr>
      </w:pPr>
      <w:r w:rsidRPr="00153C24">
        <w:rPr>
          <w:rFonts w:ascii="Lub Dub Medium" w:hAnsi="Lub Dub Medium"/>
          <w:b/>
          <w:sz w:val="20"/>
          <w:szCs w:val="20"/>
          <w:lang w:eastAsia="ar-SA"/>
        </w:rPr>
        <w:t xml:space="preserve">Contact Information: </w:t>
      </w:r>
      <w:r w:rsidRPr="00153C24">
        <w:rPr>
          <w:rFonts w:ascii="Lub Dub Medium" w:hAnsi="Lub Dub Medium"/>
          <w:bCs/>
          <w:sz w:val="20"/>
          <w:szCs w:val="20"/>
          <w:lang w:eastAsia="ar-SA"/>
        </w:rPr>
        <w:t xml:space="preserve">Priya Palta, Ph.D., M.H.S., may be reached </w:t>
      </w:r>
      <w:r>
        <w:rPr>
          <w:rFonts w:ascii="Lub Dub Medium" w:hAnsi="Lub Dub Medium"/>
          <w:bCs/>
          <w:sz w:val="20"/>
          <w:szCs w:val="20"/>
          <w:lang w:eastAsia="ar-SA"/>
        </w:rPr>
        <w:t xml:space="preserve">through </w:t>
      </w:r>
      <w:r w:rsidRPr="00153C24">
        <w:rPr>
          <w:rStyle w:val="cf01"/>
          <w:rFonts w:ascii="Lub Dub Medium" w:hAnsi="Lub Dub Medium"/>
          <w:sz w:val="20"/>
          <w:szCs w:val="20"/>
        </w:rPr>
        <w:t>Helen B. Garey</w:t>
      </w:r>
      <w:r>
        <w:rPr>
          <w:rStyle w:val="cf01"/>
          <w:rFonts w:ascii="Lub Dub Medium" w:hAnsi="Lub Dub Medium"/>
          <w:sz w:val="20"/>
          <w:szCs w:val="20"/>
        </w:rPr>
        <w:t xml:space="preserve">, Communications Specialist, </w:t>
      </w:r>
      <w:r w:rsidRPr="00153C24">
        <w:rPr>
          <w:rStyle w:val="cf01"/>
          <w:rFonts w:ascii="Lub Dub Medium" w:hAnsi="Lub Dub Medium"/>
          <w:sz w:val="20"/>
          <w:szCs w:val="20"/>
        </w:rPr>
        <w:t>Columbia University</w:t>
      </w:r>
      <w:r>
        <w:rPr>
          <w:rStyle w:val="cf01"/>
          <w:rFonts w:ascii="Lub Dub Medium" w:hAnsi="Lub Dub Medium"/>
          <w:sz w:val="20"/>
          <w:szCs w:val="20"/>
        </w:rPr>
        <w:t xml:space="preserve"> at</w:t>
      </w:r>
      <w:r w:rsidRPr="00153C24">
        <w:rPr>
          <w:rStyle w:val="cf01"/>
          <w:rFonts w:ascii="Lub Dub Medium" w:hAnsi="Lub Dub Medium"/>
          <w:sz w:val="20"/>
          <w:szCs w:val="20"/>
        </w:rPr>
        <w:t xml:space="preserve"> </w:t>
      </w:r>
      <w:hyperlink r:id="rId6" w:history="1">
        <w:r w:rsidRPr="00153C24">
          <w:rPr>
            <w:rStyle w:val="cf01"/>
            <w:rFonts w:ascii="Lub Dub Medium" w:hAnsi="Lub Dub Medium"/>
            <w:color w:val="0000FF"/>
            <w:sz w:val="20"/>
            <w:szCs w:val="20"/>
            <w:u w:val="single"/>
          </w:rPr>
          <w:t>hbq3@cumc.columbia.edu</w:t>
        </w:r>
      </w:hyperlink>
      <w:r>
        <w:rPr>
          <w:rStyle w:val="cf01"/>
          <w:rFonts w:ascii="Lub Dub Medium" w:hAnsi="Lub Dub Medium"/>
          <w:sz w:val="20"/>
          <w:szCs w:val="20"/>
        </w:rPr>
        <w:t>.</w:t>
      </w:r>
    </w:p>
    <w:p w14:paraId="2FD3F0FE" w14:textId="77777777" w:rsidR="004C4BED" w:rsidRPr="004C4BED" w:rsidRDefault="004C4BED" w:rsidP="002D692F">
      <w:pPr>
        <w:spacing w:after="0" w:line="280" w:lineRule="atLeast"/>
        <w:rPr>
          <w:rFonts w:ascii="Lub Dub Medium" w:eastAsia="Times New Roman" w:hAnsi="Lub Dub Medium" w:cs="Segoe UI"/>
          <w:b/>
          <w:bCs/>
          <w:color w:val="000000" w:themeColor="text1"/>
          <w:sz w:val="20"/>
          <w:szCs w:val="20"/>
          <w:lang w:val="en"/>
        </w:rPr>
      </w:pPr>
    </w:p>
    <w:p w14:paraId="09A8A9FF" w14:textId="4657E369" w:rsidR="002D692F" w:rsidRPr="002D692F" w:rsidRDefault="002D692F" w:rsidP="006849B9">
      <w:pPr>
        <w:rPr>
          <w:rFonts w:ascii="Lub Dub Medium" w:hAnsi="Lub Dub Medium"/>
          <w:sz w:val="20"/>
          <w:szCs w:val="20"/>
        </w:rPr>
      </w:pPr>
      <w:r w:rsidRPr="002D692F">
        <w:rPr>
          <w:rFonts w:ascii="Lub Dub Medium" w:hAnsi="Lub Dub Medium"/>
          <w:sz w:val="20"/>
          <w:szCs w:val="20"/>
        </w:rPr>
        <w:t>P29 - Physical Activity and Sedentary Behavior</w:t>
      </w:r>
      <w:r>
        <w:rPr>
          <w:rFonts w:ascii="Calibri" w:hAnsi="Calibri" w:cs="Calibri"/>
          <w:sz w:val="20"/>
          <w:szCs w:val="20"/>
        </w:rPr>
        <w:t xml:space="preserve"> </w:t>
      </w:r>
      <w:r w:rsidRPr="002D692F">
        <w:rPr>
          <w:rFonts w:ascii="Lub Dub Medium" w:hAnsi="Lub Dub Medium"/>
          <w:sz w:val="20"/>
          <w:szCs w:val="20"/>
        </w:rPr>
        <w:t xml:space="preserve">(Presentation #: P149) </w:t>
      </w:r>
    </w:p>
    <w:p w14:paraId="6B20948A" w14:textId="77777777" w:rsidR="00266006" w:rsidRPr="002D692F" w:rsidRDefault="00266006" w:rsidP="00266006">
      <w:pPr>
        <w:rPr>
          <w:rFonts w:ascii="Lub Dub Medium" w:hAnsi="Lub Dub Medium"/>
          <w:b/>
          <w:bCs/>
          <w:sz w:val="20"/>
          <w:szCs w:val="20"/>
        </w:rPr>
      </w:pPr>
      <w:r w:rsidRPr="002D692F">
        <w:rPr>
          <w:rFonts w:ascii="Lub Dub Medium" w:hAnsi="Lub Dub Medium"/>
          <w:b/>
          <w:bCs/>
          <w:sz w:val="20"/>
          <w:szCs w:val="20"/>
        </w:rPr>
        <w:t>Title - Sedentary Behavior In Mid-life And Risk Of Change In Global Cognitive Function And Incident Dementia: The Atherosclerosis Risk In Communities Neurocognitive Study (ARIC-NCS)</w:t>
      </w:r>
    </w:p>
    <w:p w14:paraId="302D8BB1" w14:textId="77777777" w:rsidR="002D692F" w:rsidRPr="002D692F" w:rsidRDefault="002D692F" w:rsidP="006849B9">
      <w:pPr>
        <w:rPr>
          <w:rFonts w:ascii="Lub Dub Medium" w:hAnsi="Lub Dub Medium"/>
          <w:sz w:val="20"/>
          <w:szCs w:val="20"/>
        </w:rPr>
      </w:pPr>
      <w:r w:rsidRPr="002D692F">
        <w:rPr>
          <w:rFonts w:ascii="Lub Dub Medium" w:hAnsi="Lub Dub Medium"/>
          <w:b/>
          <w:bCs/>
          <w:sz w:val="20"/>
          <w:szCs w:val="20"/>
        </w:rPr>
        <w:t>Abstract Content</w:t>
      </w:r>
      <w:r w:rsidRPr="002D692F">
        <w:rPr>
          <w:rFonts w:ascii="Lub Dub Medium" w:hAnsi="Lub Dub Medium"/>
          <w:b/>
          <w:bCs/>
          <w:sz w:val="20"/>
          <w:szCs w:val="20"/>
        </w:rPr>
        <w:br/>
        <w:t>Introduction:</w:t>
      </w:r>
      <w:r w:rsidRPr="002D692F">
        <w:rPr>
          <w:rFonts w:ascii="Calibri" w:hAnsi="Calibri" w:cs="Calibri"/>
          <w:sz w:val="20"/>
          <w:szCs w:val="20"/>
        </w:rPr>
        <w:t> </w:t>
      </w:r>
      <w:r w:rsidRPr="002D692F">
        <w:rPr>
          <w:rFonts w:ascii="Lub Dub Medium" w:hAnsi="Lub Dub Medium"/>
          <w:sz w:val="20"/>
          <w:szCs w:val="20"/>
        </w:rPr>
        <w:t>Sedentary behavior (SB) has emerged as a risk factor that may exert health effects independent from moderate-to-vigorous intensity physical activity (PA). However, the role of SB on cognitive health and its interaction with PA has not been widely examined prospectively. We tested the hypotheses that higher levels of, and persistence of mid-life television viewing, an established proxy measure of leisure-time SB, are associated with faster rates of cognitive decline and greater incidence of dementia, and that these associations are attenuated by meeting/not meeting the 2018 PA guidelines.</w:t>
      </w:r>
      <w:r w:rsidRPr="002D692F">
        <w:rPr>
          <w:rFonts w:ascii="Calibri" w:hAnsi="Calibri" w:cs="Calibri"/>
          <w:sz w:val="20"/>
          <w:szCs w:val="20"/>
        </w:rPr>
        <w:t> </w:t>
      </w:r>
      <w:r w:rsidRPr="002D692F">
        <w:rPr>
          <w:rFonts w:ascii="Lub Dub Medium" w:hAnsi="Lub Dub Medium"/>
          <w:b/>
          <w:bCs/>
          <w:sz w:val="20"/>
          <w:szCs w:val="20"/>
        </w:rPr>
        <w:t>Methods:</w:t>
      </w:r>
      <w:r w:rsidRPr="002D692F">
        <w:rPr>
          <w:rFonts w:ascii="Calibri" w:hAnsi="Calibri" w:cs="Calibri"/>
          <w:sz w:val="20"/>
          <w:szCs w:val="20"/>
        </w:rPr>
        <w:t> </w:t>
      </w:r>
      <w:r w:rsidRPr="002D692F">
        <w:rPr>
          <w:rFonts w:ascii="Lub Dub Medium" w:hAnsi="Lub Dub Medium"/>
          <w:sz w:val="20"/>
          <w:szCs w:val="20"/>
        </w:rPr>
        <w:t>ARIC participants (n=10,700, mean age: 59 years, 44% male, 19% Black) with self-reported assessments of television viewing at visits 1 (1987-1989) and 3 (1993-1995) were included. Participants were categorized as low [</w:t>
      </w:r>
      <w:r w:rsidRPr="002D692F">
        <w:rPr>
          <w:rFonts w:ascii="Lub Dub Medium" w:hAnsi="Lub Dub Medium" w:cs="Lub Dub Medium"/>
          <w:sz w:val="20"/>
          <w:szCs w:val="20"/>
        </w:rPr>
        <w:t>“</w:t>
      </w:r>
      <w:r w:rsidRPr="002D692F">
        <w:rPr>
          <w:rFonts w:ascii="Lub Dub Medium" w:hAnsi="Lub Dub Medium"/>
          <w:sz w:val="20"/>
          <w:szCs w:val="20"/>
        </w:rPr>
        <w:t>never</w:t>
      </w:r>
      <w:r w:rsidRPr="002D692F">
        <w:rPr>
          <w:rFonts w:ascii="Lub Dub Medium" w:hAnsi="Lub Dub Medium" w:cs="Lub Dub Medium"/>
          <w:sz w:val="20"/>
          <w:szCs w:val="20"/>
        </w:rPr>
        <w:t>”</w:t>
      </w:r>
      <w:r w:rsidRPr="002D692F">
        <w:rPr>
          <w:rFonts w:ascii="Lub Dub Medium" w:hAnsi="Lub Dub Medium"/>
          <w:sz w:val="20"/>
          <w:szCs w:val="20"/>
        </w:rPr>
        <w:t>/</w:t>
      </w:r>
      <w:r w:rsidRPr="002D692F">
        <w:rPr>
          <w:rFonts w:ascii="Lub Dub Medium" w:hAnsi="Lub Dub Medium" w:cs="Lub Dub Medium"/>
          <w:sz w:val="20"/>
          <w:szCs w:val="20"/>
        </w:rPr>
        <w:t>“</w:t>
      </w:r>
      <w:r w:rsidRPr="002D692F">
        <w:rPr>
          <w:rFonts w:ascii="Lub Dub Medium" w:hAnsi="Lub Dub Medium"/>
          <w:sz w:val="20"/>
          <w:szCs w:val="20"/>
        </w:rPr>
        <w:t>seldom</w:t>
      </w:r>
      <w:r w:rsidRPr="002D692F">
        <w:rPr>
          <w:rFonts w:ascii="Lub Dub Medium" w:hAnsi="Lub Dub Medium" w:cs="Lub Dub Medium"/>
          <w:sz w:val="20"/>
          <w:szCs w:val="20"/>
        </w:rPr>
        <w:t>”</w:t>
      </w:r>
      <w:r w:rsidRPr="002D692F">
        <w:rPr>
          <w:rFonts w:ascii="Lub Dub Medium" w:hAnsi="Lub Dub Medium"/>
          <w:sz w:val="20"/>
          <w:szCs w:val="20"/>
        </w:rPr>
        <w:t>], medium [“sometimes”], or high [“often”/“very often”] television viewing. Persistence in television viewing was quantified as the same reported television viewing at visits 1 and 3 (n=6,462). Cognitive tests of working memory, language, and executive function were administered at visits 4 (1996-1998) and 5 (2011-2013), and a factor analysis was used to derive a global cognition factor score. Dementia diagnoses were based on a battery of cognitive tests and expert adjudication. Additional cases were identified through hospital discharge codes and diagnostic codes from death certificates. Linear mixed models estimated the associations of SB categories with change in global cognition. Time to dementia was estimated using Cox proportional hazards regression models. Models were adjusted for age, education, race-ARIC field center, and APOE-</w:t>
      </w:r>
      <w:r w:rsidRPr="002D692F">
        <w:rPr>
          <w:rFonts w:ascii="Arial" w:hAnsi="Arial" w:cs="Arial"/>
          <w:sz w:val="20"/>
          <w:szCs w:val="20"/>
        </w:rPr>
        <w:t>ɛ</w:t>
      </w:r>
      <w:r w:rsidRPr="002D692F">
        <w:rPr>
          <w:rFonts w:ascii="Lub Dub Medium" w:hAnsi="Lub Dub Medium"/>
          <w:sz w:val="20"/>
          <w:szCs w:val="20"/>
        </w:rPr>
        <w:t>4. Interactions with PA, categorized as meeting/not meeting PA guidelines, were tested.</w:t>
      </w:r>
      <w:r w:rsidRPr="002D692F">
        <w:rPr>
          <w:rFonts w:ascii="Calibri" w:hAnsi="Calibri" w:cs="Calibri"/>
          <w:sz w:val="20"/>
          <w:szCs w:val="20"/>
        </w:rPr>
        <w:t> </w:t>
      </w:r>
      <w:r w:rsidRPr="002D692F">
        <w:rPr>
          <w:rFonts w:ascii="Lub Dub Medium" w:hAnsi="Lub Dub Medium"/>
          <w:b/>
          <w:bCs/>
          <w:sz w:val="20"/>
          <w:szCs w:val="20"/>
        </w:rPr>
        <w:t>Results:</w:t>
      </w:r>
      <w:r w:rsidRPr="002D692F">
        <w:rPr>
          <w:rFonts w:ascii="Calibri" w:hAnsi="Calibri" w:cs="Calibri"/>
          <w:b/>
          <w:bCs/>
          <w:sz w:val="20"/>
          <w:szCs w:val="20"/>
        </w:rPr>
        <w:t> </w:t>
      </w:r>
      <w:r w:rsidRPr="002D692F">
        <w:rPr>
          <w:rFonts w:ascii="Lub Dub Medium" w:hAnsi="Lub Dub Medium"/>
          <w:sz w:val="20"/>
          <w:szCs w:val="20"/>
        </w:rPr>
        <w:t>Over a median follow-up of 17.4 years, 1,063 dementia cases were observed. In unadjusted models, high vs. low television viewing was associated with higher incident dementia (hazard ratio [95% CI], 1.42 [1.18, 1.71]); however, this association was no longer significant in multivariable adjusted models (1.09 [0.90, 1.32]). Significantly faster rates of decline in global cognition were observed for participants with high (-0.04 standard deviation (SD) difference [-0.08, -0.002]) or medium (-0.04 SD difference [-0.08, -0.004]) vs. low television viewing in multivariable adjusted models. These associations were stronger when measured as persistent mid-life television viewing (stable high vs. stable low: -0.06 SD difference [-0.11, -0.01]). The interaction of television viewing with PA guidelines on change in global cognition was statistically null.</w:t>
      </w:r>
      <w:r w:rsidRPr="002D692F">
        <w:rPr>
          <w:rFonts w:ascii="Calibri" w:hAnsi="Calibri" w:cs="Calibri"/>
          <w:sz w:val="20"/>
          <w:szCs w:val="20"/>
        </w:rPr>
        <w:t> </w:t>
      </w:r>
      <w:r w:rsidRPr="002D692F">
        <w:rPr>
          <w:rFonts w:ascii="Lub Dub Medium" w:hAnsi="Lub Dub Medium"/>
          <w:b/>
          <w:bCs/>
          <w:sz w:val="20"/>
          <w:szCs w:val="20"/>
        </w:rPr>
        <w:t>Conclusions:</w:t>
      </w:r>
      <w:r w:rsidRPr="002D692F">
        <w:rPr>
          <w:rFonts w:ascii="Calibri" w:hAnsi="Calibri" w:cs="Calibri"/>
          <w:b/>
          <w:bCs/>
          <w:sz w:val="20"/>
          <w:szCs w:val="20"/>
        </w:rPr>
        <w:t> </w:t>
      </w:r>
      <w:r w:rsidRPr="002D692F">
        <w:rPr>
          <w:rFonts w:ascii="Lub Dub Medium" w:hAnsi="Lub Dub Medium"/>
          <w:sz w:val="20"/>
          <w:szCs w:val="20"/>
        </w:rPr>
        <w:t>TV viewing, a</w:t>
      </w:r>
      <w:r w:rsidRPr="002D692F">
        <w:rPr>
          <w:rFonts w:ascii="Calibri" w:hAnsi="Calibri" w:cs="Calibri"/>
          <w:b/>
          <w:bCs/>
          <w:sz w:val="20"/>
          <w:szCs w:val="20"/>
        </w:rPr>
        <w:t> </w:t>
      </w:r>
      <w:r w:rsidRPr="002D692F">
        <w:rPr>
          <w:rFonts w:ascii="Lub Dub Medium" w:hAnsi="Lub Dub Medium"/>
          <w:sz w:val="20"/>
          <w:szCs w:val="20"/>
        </w:rPr>
        <w:t xml:space="preserve">proxy SB measure, is associated with cognitive </w:t>
      </w:r>
      <w:r w:rsidRPr="002D692F">
        <w:rPr>
          <w:rFonts w:ascii="Lub Dub Medium" w:hAnsi="Lub Dub Medium"/>
          <w:sz w:val="20"/>
          <w:szCs w:val="20"/>
        </w:rPr>
        <w:lastRenderedPageBreak/>
        <w:t>decline, but not incident dementia. Longitudinal studies with device-based measures are needed to test the associations of accumulated daily SB on cognition and dementia outcomes.</w:t>
      </w:r>
    </w:p>
    <w:p w14:paraId="134A3B88" w14:textId="77777777" w:rsidR="00266006" w:rsidRPr="002D692F" w:rsidRDefault="00266006" w:rsidP="00266006">
      <w:pPr>
        <w:rPr>
          <w:rFonts w:ascii="Lub Dub Medium" w:hAnsi="Lub Dub Medium"/>
          <w:b/>
          <w:bCs/>
          <w:sz w:val="20"/>
          <w:szCs w:val="20"/>
        </w:rPr>
      </w:pPr>
      <w:r w:rsidRPr="002D692F">
        <w:rPr>
          <w:rFonts w:ascii="Lub Dub Medium" w:hAnsi="Lub Dub Medium"/>
          <w:b/>
          <w:bCs/>
          <w:sz w:val="20"/>
          <w:szCs w:val="20"/>
        </w:rPr>
        <w:t>Author Block</w:t>
      </w:r>
    </w:p>
    <w:p w14:paraId="21DA9C89" w14:textId="7B02AB4D" w:rsidR="00266006" w:rsidRDefault="00266006" w:rsidP="00266006">
      <w:pPr>
        <w:rPr>
          <w:rFonts w:ascii="Lub Dub Medium" w:hAnsi="Lub Dub Medium"/>
          <w:sz w:val="20"/>
          <w:szCs w:val="20"/>
        </w:rPr>
      </w:pPr>
      <w:r w:rsidRPr="002D692F">
        <w:rPr>
          <w:rFonts w:ascii="Lub Dub Medium" w:hAnsi="Lub Dub Medium"/>
          <w:b/>
          <w:bCs/>
          <w:sz w:val="20"/>
          <w:szCs w:val="20"/>
        </w:rPr>
        <w:t>Priya Palta</w:t>
      </w:r>
      <w:r w:rsidRPr="002D692F">
        <w:rPr>
          <w:rFonts w:ascii="Lub Dub Medium" w:hAnsi="Lub Dub Medium"/>
          <w:sz w:val="20"/>
          <w:szCs w:val="20"/>
        </w:rPr>
        <w:t xml:space="preserve">, Columbia Univ Medical Ctr, New York, NY; Kelley P Gabriel, UAB Sch of Public Health, Birmingham, AL; Aarti Kumar, Columbia Univ Medical Ctr, New York, NY; A Richey Sharrett Sr., JOHN HOPKINS UNIV, Baltimore, MD; Kelly R Evenson, UNC Dept of Epidemiology, Chapel Hill, NC; Rebecca F Gottesman, JOHNS HOPKINS UNIVERSITY, Baltimore, MD; Thomas Mosley Jr., UNIV MS MEDICAL CTR, Jackson, MS; Gerardo M </w:t>
      </w:r>
      <w:proofErr w:type="spellStart"/>
      <w:r w:rsidRPr="002D692F">
        <w:rPr>
          <w:rFonts w:ascii="Lub Dub Medium" w:hAnsi="Lub Dub Medium"/>
          <w:sz w:val="20"/>
          <w:szCs w:val="20"/>
        </w:rPr>
        <w:t>Heiss</w:t>
      </w:r>
      <w:proofErr w:type="spellEnd"/>
      <w:r w:rsidRPr="002D692F">
        <w:rPr>
          <w:rFonts w:ascii="Lub Dub Medium" w:hAnsi="Lub Dub Medium"/>
          <w:sz w:val="20"/>
          <w:szCs w:val="20"/>
        </w:rPr>
        <w:t>, UNIVERSITY NORTH CAROLINA, Chapel Hill, NC; Keith Diaz, Columbia Univ Medical Ctr, New York, NY</w:t>
      </w:r>
    </w:p>
    <w:p w14:paraId="30729C4A" w14:textId="37E28B57" w:rsidR="00365671" w:rsidRDefault="00365671" w:rsidP="00266006">
      <w:pPr>
        <w:rPr>
          <w:rFonts w:ascii="Lub Dub Medium" w:hAnsi="Lub Dub Medium"/>
          <w:sz w:val="20"/>
          <w:szCs w:val="20"/>
        </w:rPr>
      </w:pPr>
    </w:p>
    <w:p w14:paraId="090854E3" w14:textId="1FAD387F" w:rsidR="00365671" w:rsidRDefault="00365671">
      <w:pPr>
        <w:rPr>
          <w:rFonts w:ascii="Lub Dub Medium" w:hAnsi="Lub Dub Medium"/>
          <w:sz w:val="20"/>
          <w:szCs w:val="20"/>
        </w:rPr>
      </w:pPr>
      <w:r>
        <w:rPr>
          <w:rFonts w:ascii="Lub Dub Medium" w:hAnsi="Lub Dub Medium"/>
          <w:sz w:val="20"/>
          <w:szCs w:val="20"/>
        </w:rPr>
        <w:br w:type="page"/>
      </w:r>
    </w:p>
    <w:p w14:paraId="37418320" w14:textId="4DDA252F" w:rsidR="00365671" w:rsidRPr="002D692F" w:rsidRDefault="00365671" w:rsidP="00365671">
      <w:pPr>
        <w:spacing w:after="0" w:line="240" w:lineRule="auto"/>
        <w:rPr>
          <w:rFonts w:ascii="Lub Dub Medium" w:hAnsi="Lub Dub Medium"/>
          <w:b/>
          <w:sz w:val="20"/>
          <w:szCs w:val="20"/>
        </w:rPr>
      </w:pPr>
      <w:r w:rsidRPr="002D692F">
        <w:rPr>
          <w:rFonts w:ascii="Lub Dub Medium" w:eastAsia="Arial" w:hAnsi="Lub Dub Medium" w:cs="Arial"/>
          <w:b/>
          <w:noProof/>
          <w:sz w:val="20"/>
          <w:szCs w:val="20"/>
        </w:rPr>
        <w:lastRenderedPageBreak/>
        <w:drawing>
          <wp:anchor distT="0" distB="0" distL="114300" distR="114300" simplePos="0" relativeHeight="251662336" behindDoc="0" locked="0" layoutInCell="1" allowOverlap="1" wp14:anchorId="57F5735F" wp14:editId="44D16772">
            <wp:simplePos x="0" y="0"/>
            <wp:positionH relativeFrom="margin">
              <wp:align>left</wp:align>
            </wp:positionH>
            <wp:positionV relativeFrom="paragraph">
              <wp:posOffset>-197485</wp:posOffset>
            </wp:positionV>
            <wp:extent cx="3718560" cy="8686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EPIL_LOGO_RGB-HEX_r+k-sm.jpg"/>
                    <pic:cNvPicPr/>
                  </pic:nvPicPr>
                  <pic:blipFill>
                    <a:blip r:embed="rId4">
                      <a:extLst>
                        <a:ext uri="{28A0092B-C50C-407E-A947-70E740481C1C}">
                          <a14:useLocalDpi xmlns:a14="http://schemas.microsoft.com/office/drawing/2010/main" val="0"/>
                        </a:ext>
                      </a:extLst>
                    </a:blip>
                    <a:stretch>
                      <a:fillRect/>
                    </a:stretch>
                  </pic:blipFill>
                  <pic:spPr>
                    <a:xfrm>
                      <a:off x="0" y="0"/>
                      <a:ext cx="3718560" cy="868680"/>
                    </a:xfrm>
                    <a:prstGeom prst="rect">
                      <a:avLst/>
                    </a:prstGeom>
                  </pic:spPr>
                </pic:pic>
              </a:graphicData>
            </a:graphic>
          </wp:anchor>
        </w:drawing>
      </w:r>
    </w:p>
    <w:p w14:paraId="4701C286" w14:textId="360DE36A" w:rsidR="00365671" w:rsidRDefault="00365671" w:rsidP="00365671">
      <w:pPr>
        <w:spacing w:after="0" w:line="240" w:lineRule="auto"/>
        <w:rPr>
          <w:rFonts w:ascii="Lub Dub Medium" w:hAnsi="Lub Dub Medium"/>
          <w:b/>
          <w:sz w:val="20"/>
          <w:szCs w:val="20"/>
        </w:rPr>
      </w:pPr>
    </w:p>
    <w:p w14:paraId="24964186" w14:textId="77777777" w:rsidR="00365671" w:rsidRDefault="00365671" w:rsidP="00365671">
      <w:pPr>
        <w:spacing w:after="0" w:line="240" w:lineRule="auto"/>
        <w:rPr>
          <w:rFonts w:ascii="Lub Dub Medium" w:hAnsi="Lub Dub Medium"/>
          <w:b/>
          <w:sz w:val="20"/>
          <w:szCs w:val="20"/>
        </w:rPr>
      </w:pPr>
    </w:p>
    <w:p w14:paraId="7E2DD855" w14:textId="77777777" w:rsidR="00365671" w:rsidRDefault="00365671" w:rsidP="00365671">
      <w:pPr>
        <w:spacing w:after="0" w:line="240" w:lineRule="auto"/>
        <w:rPr>
          <w:rFonts w:ascii="Lub Dub Medium" w:hAnsi="Lub Dub Medium"/>
          <w:b/>
          <w:sz w:val="20"/>
          <w:szCs w:val="20"/>
        </w:rPr>
      </w:pPr>
    </w:p>
    <w:p w14:paraId="582D7588" w14:textId="77777777" w:rsidR="00365671" w:rsidRDefault="00365671" w:rsidP="00365671">
      <w:pPr>
        <w:spacing w:after="0" w:line="240" w:lineRule="auto"/>
        <w:rPr>
          <w:rFonts w:ascii="Lub Dub Medium" w:hAnsi="Lub Dub Medium"/>
          <w:b/>
          <w:sz w:val="20"/>
          <w:szCs w:val="20"/>
        </w:rPr>
      </w:pPr>
    </w:p>
    <w:p w14:paraId="675045FA" w14:textId="3FD136BB" w:rsidR="00365671" w:rsidRPr="002D692F" w:rsidRDefault="00365671" w:rsidP="00365671">
      <w:pPr>
        <w:spacing w:after="0" w:line="240" w:lineRule="auto"/>
        <w:rPr>
          <w:rFonts w:ascii="Lub Dub Medium" w:hAnsi="Lub Dub Medium"/>
          <w:b/>
          <w:sz w:val="20"/>
          <w:szCs w:val="20"/>
        </w:rPr>
      </w:pPr>
      <w:r w:rsidRPr="002D692F">
        <w:rPr>
          <w:rFonts w:ascii="Lub Dub Medium" w:hAnsi="Lub Dub Medium"/>
          <w:b/>
          <w:sz w:val="20"/>
          <w:szCs w:val="20"/>
        </w:rPr>
        <w:t xml:space="preserve">EPI21 News Release </w:t>
      </w:r>
    </w:p>
    <w:p w14:paraId="0D99827B" w14:textId="77777777" w:rsidR="00365671" w:rsidRPr="002D692F" w:rsidRDefault="00365671" w:rsidP="00365671">
      <w:pPr>
        <w:spacing w:after="0" w:line="240" w:lineRule="auto"/>
        <w:rPr>
          <w:rFonts w:ascii="Lub Dub Medium" w:eastAsia="Times New Roman" w:hAnsi="Lub Dub Medium" w:cs="Segoe UI"/>
          <w:b/>
          <w:bCs/>
          <w:sz w:val="20"/>
          <w:szCs w:val="20"/>
        </w:rPr>
      </w:pPr>
      <w:r w:rsidRPr="002D692F">
        <w:rPr>
          <w:rFonts w:ascii="Lub Dub Medium" w:eastAsia="Times New Roman" w:hAnsi="Lub Dub Medium" w:cs="Segoe UI"/>
          <w:b/>
          <w:bCs/>
          <w:sz w:val="20"/>
          <w:szCs w:val="20"/>
        </w:rPr>
        <w:t>Presentation #MP67</w:t>
      </w:r>
    </w:p>
    <w:p w14:paraId="552F696C" w14:textId="77777777" w:rsidR="00365671" w:rsidRPr="002D692F" w:rsidRDefault="00365671" w:rsidP="00365671">
      <w:pPr>
        <w:spacing w:after="0" w:line="240" w:lineRule="auto"/>
        <w:rPr>
          <w:rFonts w:ascii="Lub Dub Medium" w:eastAsia="Times New Roman" w:hAnsi="Lub Dub Medium" w:cs="Segoe UI"/>
          <w:b/>
          <w:bCs/>
          <w:color w:val="C00000"/>
          <w:sz w:val="20"/>
          <w:szCs w:val="20"/>
        </w:rPr>
      </w:pPr>
      <w:r w:rsidRPr="002D692F">
        <w:rPr>
          <w:rFonts w:ascii="Lub Dub Medium" w:hAnsi="Lub Dub Medium"/>
          <w:b/>
          <w:bCs/>
          <w:color w:val="C00000"/>
          <w:sz w:val="20"/>
          <w:szCs w:val="20"/>
        </w:rPr>
        <w:t>Embargoed until 10 a.m. CT/ 11 a.m. ET, Thursday, May 20, 2021</w:t>
      </w:r>
    </w:p>
    <w:p w14:paraId="16EC2BAE" w14:textId="77777777" w:rsidR="00365671" w:rsidRPr="00517925" w:rsidRDefault="00365671" w:rsidP="00365671">
      <w:pPr>
        <w:spacing w:after="0" w:line="280" w:lineRule="atLeast"/>
        <w:rPr>
          <w:rFonts w:ascii="Lub Dub Medium" w:eastAsia="Times New Roman" w:hAnsi="Lub Dub Medium" w:cs="Segoe UI"/>
          <w:b/>
          <w:bCs/>
          <w:color w:val="000000" w:themeColor="text1"/>
          <w:sz w:val="20"/>
          <w:szCs w:val="20"/>
          <w:lang w:val="en"/>
        </w:rPr>
      </w:pPr>
    </w:p>
    <w:p w14:paraId="7D5464B6" w14:textId="77777777" w:rsidR="00365671" w:rsidRPr="00517925" w:rsidRDefault="00365671" w:rsidP="00365671">
      <w:pPr>
        <w:spacing w:after="0" w:line="280" w:lineRule="atLeast"/>
        <w:rPr>
          <w:rStyle w:val="Hyperlink"/>
          <w:rFonts w:ascii="Lub Dub Medium" w:hAnsi="Lub Dub Medium"/>
          <w:bCs/>
          <w:color w:val="000000" w:themeColor="text1"/>
          <w:lang w:eastAsia="ar-SA"/>
        </w:rPr>
      </w:pPr>
      <w:r w:rsidRPr="00517925">
        <w:rPr>
          <w:rFonts w:ascii="Lub Dub Medium" w:eastAsia="Times New Roman" w:hAnsi="Lub Dub Medium" w:cs="Segoe UI"/>
          <w:b/>
          <w:bCs/>
          <w:color w:val="000000" w:themeColor="text1"/>
          <w:sz w:val="20"/>
          <w:szCs w:val="20"/>
          <w:lang w:val="en"/>
        </w:rPr>
        <w:t>Contact Information</w:t>
      </w:r>
      <w:r>
        <w:rPr>
          <w:rFonts w:ascii="Lub Dub Medium" w:eastAsia="Times New Roman" w:hAnsi="Lub Dub Medium" w:cs="Segoe UI"/>
          <w:b/>
          <w:bCs/>
          <w:color w:val="336699"/>
          <w:sz w:val="20"/>
          <w:szCs w:val="20"/>
          <w:lang w:val="en"/>
        </w:rPr>
        <w:t xml:space="preserve">: </w:t>
      </w:r>
      <w:r>
        <w:rPr>
          <w:rFonts w:ascii="Lub Dub Medium" w:hAnsi="Lub Dub Medium"/>
          <w:bCs/>
          <w:lang w:eastAsia="ar-SA"/>
        </w:rPr>
        <w:t>Ryan J. Dougherty, Ph.D., may be reached at</w:t>
      </w:r>
      <w:r w:rsidRPr="00B0214D">
        <w:t xml:space="preserve"> </w:t>
      </w:r>
      <w:r w:rsidRPr="00B0214D">
        <w:rPr>
          <w:rFonts w:ascii="Lub Dub Medium" w:hAnsi="Lub Dub Medium"/>
          <w:bCs/>
          <w:lang w:eastAsia="ar-SA"/>
        </w:rPr>
        <w:t>608-225-2979</w:t>
      </w:r>
      <w:r>
        <w:rPr>
          <w:rFonts w:ascii="Lub Dub Medium" w:hAnsi="Lub Dub Medium"/>
          <w:bCs/>
          <w:lang w:eastAsia="ar-SA"/>
        </w:rPr>
        <w:t xml:space="preserve"> or </w:t>
      </w:r>
      <w:hyperlink r:id="rId7" w:history="1">
        <w:r w:rsidRPr="00BC45B8">
          <w:rPr>
            <w:rStyle w:val="Hyperlink"/>
            <w:rFonts w:ascii="Lub Dub Medium" w:hAnsi="Lub Dub Medium"/>
            <w:bCs/>
            <w:lang w:eastAsia="ar-SA"/>
          </w:rPr>
          <w:t>rdoughe7@jhu.edu</w:t>
        </w:r>
      </w:hyperlink>
      <w:r>
        <w:rPr>
          <w:rStyle w:val="Hyperlink"/>
          <w:rFonts w:ascii="Lub Dub Medium" w:hAnsi="Lub Dub Medium"/>
          <w:bCs/>
          <w:lang w:eastAsia="ar-SA"/>
        </w:rPr>
        <w:t>.</w:t>
      </w:r>
    </w:p>
    <w:p w14:paraId="29A8844B" w14:textId="77777777" w:rsidR="00365671" w:rsidRPr="00517925" w:rsidRDefault="00365671" w:rsidP="00365671">
      <w:pPr>
        <w:spacing w:after="0" w:line="280" w:lineRule="atLeast"/>
        <w:rPr>
          <w:rFonts w:ascii="Lub Dub Medium" w:eastAsia="Times New Roman" w:hAnsi="Lub Dub Medium" w:cs="Segoe UI"/>
          <w:b/>
          <w:bCs/>
          <w:color w:val="000000" w:themeColor="text1"/>
          <w:sz w:val="20"/>
          <w:szCs w:val="20"/>
          <w:lang w:val="en"/>
        </w:rPr>
      </w:pPr>
    </w:p>
    <w:p w14:paraId="40E7F38F" w14:textId="77777777" w:rsidR="00365671" w:rsidRPr="002D692F" w:rsidRDefault="00365671" w:rsidP="00365671">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color w:val="000000" w:themeColor="text1"/>
          <w:sz w:val="20"/>
          <w:szCs w:val="20"/>
        </w:rPr>
        <w:t xml:space="preserve">MPS12 - Novel CVD Risk Factors </w:t>
      </w:r>
      <w:r w:rsidRPr="002D692F">
        <w:rPr>
          <w:rFonts w:ascii="Calibri" w:eastAsia="Times New Roman" w:hAnsi="Calibri" w:cs="Calibri"/>
          <w:color w:val="000000" w:themeColor="text1"/>
          <w:sz w:val="20"/>
          <w:szCs w:val="20"/>
        </w:rPr>
        <w:t> </w:t>
      </w:r>
      <w:r w:rsidRPr="002D692F">
        <w:rPr>
          <w:rFonts w:ascii="Lub Dub Medium" w:eastAsia="Times New Roman" w:hAnsi="Lub Dub Medium" w:cs="Segoe UI"/>
          <w:color w:val="000000"/>
          <w:sz w:val="20"/>
          <w:szCs w:val="20"/>
        </w:rPr>
        <w:t xml:space="preserve">(Presentation #: MP67; Speaking Time: 5/21/2021 2:25:00 PM - 5/21/2021 2:30:00 PM) </w:t>
      </w:r>
    </w:p>
    <w:p w14:paraId="1D778546" w14:textId="77777777" w:rsidR="00365671" w:rsidRPr="002D692F" w:rsidRDefault="00365671" w:rsidP="00365671">
      <w:pPr>
        <w:spacing w:after="0" w:line="280" w:lineRule="atLeast"/>
        <w:rPr>
          <w:rFonts w:ascii="Lub Dub Medium" w:eastAsia="Times New Roman" w:hAnsi="Lub Dub Medium" w:cs="Segoe UI"/>
          <w:color w:val="000000"/>
          <w:sz w:val="20"/>
          <w:szCs w:val="20"/>
          <w:lang w:val="en"/>
        </w:rPr>
      </w:pPr>
    </w:p>
    <w:p w14:paraId="0D409D7C" w14:textId="77777777" w:rsidR="00365671" w:rsidRPr="002D692F" w:rsidRDefault="00365671" w:rsidP="00365671">
      <w:pPr>
        <w:spacing w:after="0" w:line="280" w:lineRule="atLeast"/>
        <w:rPr>
          <w:rFonts w:ascii="Lub Dub Medium" w:eastAsia="Times New Roman" w:hAnsi="Lub Dub Medium" w:cs="Segoe UI"/>
          <w:b/>
          <w:bCs/>
          <w:color w:val="336699"/>
          <w:sz w:val="20"/>
          <w:szCs w:val="20"/>
          <w:lang w:val="en"/>
        </w:rPr>
      </w:pPr>
      <w:r w:rsidRPr="002D692F">
        <w:rPr>
          <w:rFonts w:ascii="Lub Dub Medium" w:eastAsia="Times New Roman" w:hAnsi="Lub Dub Medium" w:cs="Segoe UI"/>
          <w:b/>
          <w:bCs/>
          <w:color w:val="336699"/>
          <w:sz w:val="20"/>
          <w:szCs w:val="20"/>
          <w:lang w:val="en"/>
        </w:rPr>
        <w:t xml:space="preserve">Title - </w:t>
      </w:r>
      <w:r w:rsidRPr="002D692F">
        <w:rPr>
          <w:rFonts w:ascii="Lub Dub Medium" w:eastAsia="Times New Roman" w:hAnsi="Lub Dub Medium" w:cs="Segoe UI"/>
          <w:b/>
          <w:bCs/>
          <w:color w:val="000000"/>
          <w:sz w:val="20"/>
          <w:szCs w:val="20"/>
          <w:lang w:val="en"/>
        </w:rPr>
        <w:t>Long-term TV Viewing Is Associated With Grey Matter Brain Volume In Midlife: The Coronary Artery Risk Development In Young Adults (CARDIA) Study</w:t>
      </w:r>
    </w:p>
    <w:p w14:paraId="02E6435D" w14:textId="77777777" w:rsidR="00365671" w:rsidRPr="002D692F" w:rsidRDefault="00365671" w:rsidP="00365671">
      <w:pPr>
        <w:spacing w:after="0" w:line="280" w:lineRule="atLeast"/>
        <w:rPr>
          <w:rFonts w:ascii="Lub Dub Medium" w:eastAsia="Times New Roman" w:hAnsi="Lub Dub Medium" w:cs="Segoe UI"/>
          <w:color w:val="000000"/>
          <w:sz w:val="20"/>
          <w:szCs w:val="20"/>
          <w:lang w:val="en"/>
        </w:rPr>
      </w:pPr>
    </w:p>
    <w:p w14:paraId="56B30BCB" w14:textId="77777777" w:rsidR="00365671" w:rsidRPr="002D692F" w:rsidRDefault="00365671" w:rsidP="00365671">
      <w:pPr>
        <w:spacing w:after="0" w:line="280" w:lineRule="atLeast"/>
        <w:rPr>
          <w:rFonts w:ascii="Lub Dub Medium" w:eastAsia="Times New Roman" w:hAnsi="Lub Dub Medium" w:cs="Segoe UI"/>
          <w:b/>
          <w:bCs/>
          <w:color w:val="336699"/>
          <w:sz w:val="20"/>
          <w:szCs w:val="20"/>
          <w:lang w:val="en"/>
        </w:rPr>
      </w:pPr>
      <w:r w:rsidRPr="002D692F">
        <w:rPr>
          <w:rFonts w:ascii="Lub Dub Medium" w:eastAsia="Times New Roman" w:hAnsi="Lub Dub Medium" w:cs="Segoe UI"/>
          <w:b/>
          <w:bCs/>
          <w:color w:val="336699"/>
          <w:sz w:val="20"/>
          <w:szCs w:val="20"/>
          <w:lang w:val="en"/>
        </w:rPr>
        <w:t>Abstract Content</w:t>
      </w:r>
    </w:p>
    <w:p w14:paraId="2DD84FC1" w14:textId="77777777" w:rsidR="00365671" w:rsidRPr="002D692F" w:rsidRDefault="00365671" w:rsidP="00365671">
      <w:pPr>
        <w:spacing w:after="0" w:line="280" w:lineRule="atLeast"/>
        <w:rPr>
          <w:rFonts w:ascii="Lub Dub Medium" w:eastAsia="Times New Roman" w:hAnsi="Lub Dub Medium" w:cs="Segoe UI"/>
          <w:color w:val="000000"/>
          <w:sz w:val="20"/>
          <w:szCs w:val="20"/>
        </w:rPr>
      </w:pPr>
      <w:r w:rsidRPr="002D692F">
        <w:rPr>
          <w:rFonts w:ascii="Lub Dub Medium" w:eastAsia="Times New Roman" w:hAnsi="Lub Dub Medium" w:cs="Segoe UI"/>
          <w:b/>
          <w:bCs/>
          <w:i/>
          <w:iCs/>
          <w:color w:val="000000"/>
          <w:sz w:val="20"/>
          <w:szCs w:val="20"/>
        </w:rPr>
        <w:t>Introduction:</w:t>
      </w:r>
      <w:r w:rsidRPr="002D692F">
        <w:rPr>
          <w:rFonts w:ascii="Lub Dub Medium" w:eastAsia="Times New Roman" w:hAnsi="Lub Dub Medium" w:cs="Segoe UI"/>
          <w:color w:val="000000"/>
          <w:sz w:val="20"/>
          <w:szCs w:val="20"/>
        </w:rPr>
        <w:t xml:space="preserve"> While it is generally accepted that a physically active lifestyle is important for overall health,</w:t>
      </w:r>
      <w:r w:rsidRPr="002D692F">
        <w:rPr>
          <w:rFonts w:ascii="Lub Dub Medium" w:eastAsia="Times New Roman" w:hAnsi="Lub Dub Medium" w:cs="Segoe UI"/>
          <w:color w:val="000000"/>
          <w:sz w:val="20"/>
          <w:szCs w:val="20"/>
          <w:vertAlign w:val="superscript"/>
        </w:rPr>
        <w:t xml:space="preserve"> </w:t>
      </w:r>
      <w:r w:rsidRPr="002D692F">
        <w:rPr>
          <w:rFonts w:ascii="Lub Dub Medium" w:eastAsia="Times New Roman" w:hAnsi="Lub Dub Medium" w:cs="Segoe UI"/>
          <w:color w:val="000000"/>
          <w:sz w:val="20"/>
          <w:szCs w:val="20"/>
        </w:rPr>
        <w:t xml:space="preserve">sedentary behavior has become a public health focus due to evidence that it may impart unique risk for chronic diseases. The purpose of this study was to examine the association between 20-year television (TV) viewing patterns, as a proxy for sedentary behavior, with grey matter volume in midlife. We hypothesized that greater TV viewing in early to mid-adulthood would be associated with lower grey matter volume at midlife, independent from physical activity. </w:t>
      </w:r>
      <w:r w:rsidRPr="002D692F">
        <w:rPr>
          <w:rFonts w:ascii="Lub Dub Medium" w:eastAsia="Times New Roman" w:hAnsi="Lub Dub Medium" w:cs="Segoe UI"/>
          <w:b/>
          <w:bCs/>
          <w:i/>
          <w:iCs/>
          <w:color w:val="000000"/>
          <w:sz w:val="20"/>
          <w:szCs w:val="20"/>
        </w:rPr>
        <w:t>Methods:</w:t>
      </w:r>
      <w:r w:rsidRPr="002D692F">
        <w:rPr>
          <w:rFonts w:ascii="Lub Dub Medium" w:eastAsia="Times New Roman" w:hAnsi="Lub Dub Medium" w:cs="Segoe UI"/>
          <w:color w:val="000000"/>
          <w:sz w:val="20"/>
          <w:szCs w:val="20"/>
        </w:rPr>
        <w:t xml:space="preserve"> We evaluated 599 participants (306 female, 264 black, mean age 30.3±3.5 at baseline and 50.2±3.5 years at follow-up and MRI) from the prospective CARDIA study. We assessed TV patterns with repeated interviewer-administered questionnaire spanning 20 years. Structural MRI (3T) measures of grey matter were assessed at year 20 during midlife. We used multivariable linear models to examine the association between long-term TV viewing (mean hours) and frontal cortex, entorhinal cortex, hippocampal, and total grey matter volumes, adjusting for demographics, intracranial volume, and study site. </w:t>
      </w:r>
      <w:r w:rsidRPr="002D692F">
        <w:rPr>
          <w:rFonts w:ascii="Lub Dub Medium" w:eastAsia="Times New Roman" w:hAnsi="Lub Dub Medium" w:cs="Segoe UI"/>
          <w:b/>
          <w:bCs/>
          <w:i/>
          <w:iCs/>
          <w:color w:val="000000"/>
          <w:sz w:val="20"/>
          <w:szCs w:val="20"/>
        </w:rPr>
        <w:t>Results:</w:t>
      </w:r>
      <w:r w:rsidRPr="002D692F">
        <w:rPr>
          <w:rFonts w:ascii="Lub Dub Medium" w:eastAsia="Times New Roman" w:hAnsi="Lub Dub Medium" w:cs="Segoe UI"/>
          <w:color w:val="000000"/>
          <w:sz w:val="20"/>
          <w:szCs w:val="20"/>
        </w:rPr>
        <w:t xml:space="preserve"> Over the 20 years, participants reported viewing an average of 2.5±1.7 hours of TV per day (range: 0-10 hours). After multivariable adjustment, greater TV viewing was negatively associated with grey matter volume in the frontal (</w:t>
      </w:r>
      <w:r w:rsidRPr="002D692F">
        <w:rPr>
          <w:rFonts w:ascii="Calibri" w:eastAsia="Times New Roman" w:hAnsi="Calibri" w:cs="Calibri"/>
          <w:color w:val="000000"/>
          <w:sz w:val="20"/>
          <w:szCs w:val="20"/>
        </w:rPr>
        <w:t>β</w:t>
      </w:r>
      <w:r w:rsidRPr="002D692F">
        <w:rPr>
          <w:rFonts w:ascii="Lub Dub Medium" w:eastAsia="Times New Roman" w:hAnsi="Lub Dub Medium" w:cs="Segoe UI"/>
          <w:color w:val="000000"/>
          <w:sz w:val="20"/>
          <w:szCs w:val="20"/>
        </w:rPr>
        <w:t xml:space="preserve">= -0.773; </w:t>
      </w:r>
      <w:r w:rsidRPr="002D692F">
        <w:rPr>
          <w:rFonts w:ascii="Lub Dub Medium" w:eastAsia="Times New Roman" w:hAnsi="Lub Dub Medium" w:cs="Segoe UI"/>
          <w:i/>
          <w:iCs/>
          <w:color w:val="000000"/>
          <w:sz w:val="20"/>
          <w:szCs w:val="20"/>
        </w:rPr>
        <w:t>p</w:t>
      </w:r>
      <w:r w:rsidRPr="002D692F">
        <w:rPr>
          <w:rFonts w:ascii="Lub Dub Medium" w:eastAsia="Times New Roman" w:hAnsi="Lub Dub Medium" w:cs="Segoe UI"/>
          <w:color w:val="000000"/>
          <w:sz w:val="20"/>
          <w:szCs w:val="20"/>
        </w:rPr>
        <w:t>= 0.01) and entorhinal cortex (</w:t>
      </w:r>
      <w:r w:rsidRPr="002D692F">
        <w:rPr>
          <w:rFonts w:ascii="Calibri" w:eastAsia="Times New Roman" w:hAnsi="Calibri" w:cs="Calibri"/>
          <w:color w:val="000000"/>
          <w:sz w:val="20"/>
          <w:szCs w:val="20"/>
        </w:rPr>
        <w:t>β</w:t>
      </w:r>
      <w:r w:rsidRPr="002D692F">
        <w:rPr>
          <w:rFonts w:ascii="Lub Dub Medium" w:eastAsia="Times New Roman" w:hAnsi="Lub Dub Medium" w:cs="Segoe UI"/>
          <w:color w:val="000000"/>
          <w:sz w:val="20"/>
          <w:szCs w:val="20"/>
        </w:rPr>
        <w:t xml:space="preserve">= -23.8; </w:t>
      </w:r>
      <w:r w:rsidRPr="002D692F">
        <w:rPr>
          <w:rFonts w:ascii="Lub Dub Medium" w:eastAsia="Times New Roman" w:hAnsi="Lub Dub Medium" w:cs="Segoe UI"/>
          <w:i/>
          <w:iCs/>
          <w:color w:val="000000"/>
          <w:sz w:val="20"/>
          <w:szCs w:val="20"/>
        </w:rPr>
        <w:t>p</w:t>
      </w:r>
      <w:r w:rsidRPr="002D692F">
        <w:rPr>
          <w:rFonts w:ascii="Lub Dub Medium" w:eastAsia="Times New Roman" w:hAnsi="Lub Dub Medium" w:cs="Segoe UI"/>
          <w:color w:val="000000"/>
          <w:sz w:val="20"/>
          <w:szCs w:val="20"/>
        </w:rPr>
        <w:t>= 0.05) as well as total grey matter (</w:t>
      </w:r>
      <w:r w:rsidRPr="002D692F">
        <w:rPr>
          <w:rFonts w:ascii="Calibri" w:eastAsia="Times New Roman" w:hAnsi="Calibri" w:cs="Calibri"/>
          <w:color w:val="000000"/>
          <w:sz w:val="20"/>
          <w:szCs w:val="20"/>
        </w:rPr>
        <w:t>β</w:t>
      </w:r>
      <w:r w:rsidRPr="002D692F">
        <w:rPr>
          <w:rFonts w:ascii="Lub Dub Medium" w:eastAsia="Times New Roman" w:hAnsi="Lub Dub Medium" w:cs="Segoe UI"/>
          <w:color w:val="000000"/>
          <w:sz w:val="20"/>
          <w:szCs w:val="20"/>
        </w:rPr>
        <w:t xml:space="preserve">= -2.089; </w:t>
      </w:r>
      <w:r w:rsidRPr="002D692F">
        <w:rPr>
          <w:rFonts w:ascii="Lub Dub Medium" w:eastAsia="Times New Roman" w:hAnsi="Lub Dub Medium" w:cs="Segoe UI"/>
          <w:i/>
          <w:iCs/>
          <w:color w:val="000000"/>
          <w:sz w:val="20"/>
          <w:szCs w:val="20"/>
        </w:rPr>
        <w:t>p</w:t>
      </w:r>
      <w:r w:rsidRPr="002D692F">
        <w:rPr>
          <w:rFonts w:ascii="Lub Dub Medium" w:eastAsia="Times New Roman" w:hAnsi="Lub Dub Medium" w:cs="Segoe UI"/>
          <w:color w:val="000000"/>
          <w:sz w:val="20"/>
          <w:szCs w:val="20"/>
        </w:rPr>
        <w:t>= 0.003) but not hippocampus. These results remained unchanged after additional adjustment for physical activity. For each one standard deviation increase in TV viewing, the difference in grey matter volume z-score was approximately 0.06 less for each of the three regions (</w:t>
      </w:r>
      <w:r w:rsidRPr="002D692F">
        <w:rPr>
          <w:rFonts w:ascii="Lub Dub Medium" w:eastAsia="Times New Roman" w:hAnsi="Lub Dub Medium" w:cs="Segoe UI"/>
          <w:i/>
          <w:iCs/>
          <w:color w:val="000000"/>
          <w:sz w:val="20"/>
          <w:szCs w:val="20"/>
        </w:rPr>
        <w:t>p&lt;</w:t>
      </w:r>
      <w:r w:rsidRPr="002D692F">
        <w:rPr>
          <w:rFonts w:ascii="Lub Dub Medium" w:eastAsia="Times New Roman" w:hAnsi="Lub Dub Medium" w:cs="Segoe UI"/>
          <w:color w:val="000000"/>
          <w:sz w:val="20"/>
          <w:szCs w:val="20"/>
        </w:rPr>
        <w:t xml:space="preserve"> 0.05; Figure 1). </w:t>
      </w:r>
      <w:r w:rsidRPr="002D692F">
        <w:rPr>
          <w:rFonts w:ascii="Lub Dub Medium" w:eastAsia="Times New Roman" w:hAnsi="Lub Dub Medium" w:cs="Segoe UI"/>
          <w:b/>
          <w:bCs/>
          <w:i/>
          <w:iCs/>
          <w:color w:val="000000"/>
          <w:sz w:val="20"/>
          <w:szCs w:val="20"/>
        </w:rPr>
        <w:t>Conclusions:</w:t>
      </w:r>
      <w:r w:rsidRPr="002D692F">
        <w:rPr>
          <w:rFonts w:ascii="Lub Dub Medium" w:eastAsia="Times New Roman" w:hAnsi="Lub Dub Medium" w:cs="Segoe UI"/>
          <w:color w:val="000000"/>
          <w:sz w:val="20"/>
          <w:szCs w:val="20"/>
        </w:rPr>
        <w:t xml:space="preserve"> Among middle-aged adults, greater TV viewing in early to mid-adulthood was associated with lower grey matter volume. Sedentariness or other facets of TV viewing may be an important risk factor for brain aging even in middle age.</w:t>
      </w:r>
      <w:r w:rsidRPr="002D692F">
        <w:rPr>
          <w:rFonts w:ascii="Lub Dub Medium" w:eastAsia="Times New Roman" w:hAnsi="Lub Dub Medium" w:cs="Segoe UI"/>
          <w:color w:val="000000"/>
          <w:sz w:val="20"/>
          <w:szCs w:val="20"/>
        </w:rPr>
        <w:br/>
      </w:r>
      <w:hyperlink r:id="rId8" w:tgtFrame="_blank" w:history="1">
        <w:r w:rsidRPr="002D692F">
          <w:rPr>
            <w:rFonts w:ascii="Lub Dub Medium" w:eastAsia="Times New Roman" w:hAnsi="Lub Dub Medium" w:cs="Segoe UI"/>
            <w:color w:val="0000FF"/>
            <w:sz w:val="20"/>
            <w:szCs w:val="20"/>
            <w:u w:val="single"/>
          </w:rPr>
          <w:br/>
        </w:r>
        <w:r w:rsidRPr="002D692F">
          <w:rPr>
            <w:rFonts w:ascii="Lub Dub Medium" w:eastAsia="Times New Roman" w:hAnsi="Lub Dub Medium" w:cs="Segoe UI"/>
            <w:noProof/>
            <w:color w:val="0000FF"/>
            <w:sz w:val="20"/>
            <w:szCs w:val="20"/>
          </w:rPr>
          <w:drawing>
            <wp:inline distT="0" distB="0" distL="0" distR="0" wp14:anchorId="6B4CD336" wp14:editId="7D4FAE2F">
              <wp:extent cx="3810000" cy="3067050"/>
              <wp:effectExtent l="0" t="0" r="0" b="0"/>
              <wp:docPr id="1" name="Pictur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067050"/>
                      </a:xfrm>
                      <a:prstGeom prst="rect">
                        <a:avLst/>
                      </a:prstGeom>
                      <a:noFill/>
                      <a:ln>
                        <a:noFill/>
                      </a:ln>
                    </pic:spPr>
                  </pic:pic>
                </a:graphicData>
              </a:graphic>
            </wp:inline>
          </w:drawing>
        </w:r>
      </w:hyperlink>
    </w:p>
    <w:p w14:paraId="5E7863E5" w14:textId="77777777" w:rsidR="00365671" w:rsidRPr="002D692F" w:rsidRDefault="00365671" w:rsidP="00365671">
      <w:pPr>
        <w:spacing w:after="0" w:line="280" w:lineRule="atLeast"/>
        <w:rPr>
          <w:rFonts w:ascii="Lub Dub Medium" w:eastAsia="Times New Roman" w:hAnsi="Lub Dub Medium" w:cs="Segoe UI"/>
          <w:vanish/>
          <w:color w:val="000000"/>
          <w:sz w:val="20"/>
          <w:szCs w:val="20"/>
          <w:lang w:val="en"/>
        </w:rPr>
      </w:pPr>
    </w:p>
    <w:p w14:paraId="4B9D3EA7" w14:textId="77777777" w:rsidR="00365671" w:rsidRPr="002D692F" w:rsidRDefault="00365671" w:rsidP="00365671">
      <w:pPr>
        <w:spacing w:after="0" w:line="280" w:lineRule="atLeast"/>
        <w:rPr>
          <w:rFonts w:ascii="Lub Dub Medium" w:eastAsia="Times New Roman" w:hAnsi="Lub Dub Medium" w:cs="Segoe UI"/>
          <w:b/>
          <w:bCs/>
          <w:color w:val="336699"/>
          <w:sz w:val="20"/>
          <w:szCs w:val="20"/>
          <w:lang w:val="en"/>
        </w:rPr>
      </w:pPr>
      <w:r w:rsidRPr="002D692F">
        <w:rPr>
          <w:rFonts w:ascii="Lub Dub Medium" w:eastAsia="Times New Roman" w:hAnsi="Lub Dub Medium" w:cs="Segoe UI"/>
          <w:b/>
          <w:bCs/>
          <w:color w:val="336699"/>
          <w:sz w:val="20"/>
          <w:szCs w:val="20"/>
          <w:lang w:val="en"/>
        </w:rPr>
        <w:t>Author Block</w:t>
      </w:r>
    </w:p>
    <w:p w14:paraId="6A796D2C" w14:textId="77777777" w:rsidR="00365671" w:rsidRPr="002D692F" w:rsidRDefault="00365671" w:rsidP="00365671">
      <w:pPr>
        <w:spacing w:after="0" w:line="280" w:lineRule="atLeast"/>
        <w:rPr>
          <w:rFonts w:ascii="Lub Dub Medium" w:eastAsia="Times New Roman" w:hAnsi="Lub Dub Medium" w:cs="Segoe UI"/>
          <w:color w:val="000000"/>
          <w:sz w:val="20"/>
          <w:szCs w:val="20"/>
          <w:lang w:val="en"/>
        </w:rPr>
      </w:pPr>
      <w:r w:rsidRPr="002D692F">
        <w:rPr>
          <w:rFonts w:ascii="Lub Dub Medium" w:eastAsia="Times New Roman" w:hAnsi="Lub Dub Medium" w:cs="Segoe UI"/>
          <w:b/>
          <w:bCs/>
          <w:color w:val="000000"/>
          <w:sz w:val="20"/>
          <w:szCs w:val="20"/>
          <w:lang w:val="en"/>
        </w:rPr>
        <w:t>Ryan J Dougherty</w:t>
      </w:r>
      <w:r w:rsidRPr="002D692F">
        <w:rPr>
          <w:rFonts w:ascii="Lub Dub Medium" w:eastAsia="Times New Roman" w:hAnsi="Lub Dub Medium" w:cs="Segoe UI"/>
          <w:color w:val="000000"/>
          <w:sz w:val="20"/>
          <w:szCs w:val="20"/>
          <w:lang w:val="en"/>
        </w:rPr>
        <w:t xml:space="preserve">, Johns Hopkins Univ, Baltimore, MD; Tina Hoang, San Francisco VA Health Care System, San Francisco, CA; Lenore J </w:t>
      </w:r>
      <w:proofErr w:type="spellStart"/>
      <w:r w:rsidRPr="002D692F">
        <w:rPr>
          <w:rFonts w:ascii="Lub Dub Medium" w:eastAsia="Times New Roman" w:hAnsi="Lub Dub Medium" w:cs="Segoe UI"/>
          <w:color w:val="000000"/>
          <w:sz w:val="20"/>
          <w:szCs w:val="20"/>
          <w:lang w:val="en"/>
        </w:rPr>
        <w:t>Launer</w:t>
      </w:r>
      <w:proofErr w:type="spellEnd"/>
      <w:r w:rsidRPr="002D692F">
        <w:rPr>
          <w:rFonts w:ascii="Lub Dub Medium" w:eastAsia="Times New Roman" w:hAnsi="Lub Dub Medium" w:cs="Segoe UI"/>
          <w:color w:val="000000"/>
          <w:sz w:val="20"/>
          <w:szCs w:val="20"/>
          <w:lang w:val="en"/>
        </w:rPr>
        <w:t xml:space="preserve">, Natl Inst on Aging, Washington, DC; David R Jacobs Jr., Univ of Minnesota, Minneapolis, MN; Stephen Sidney, Kaiser Permanente Northern Cal, Oakland, CA; Kristine </w:t>
      </w:r>
      <w:proofErr w:type="spellStart"/>
      <w:r w:rsidRPr="002D692F">
        <w:rPr>
          <w:rFonts w:ascii="Lub Dub Medium" w:eastAsia="Times New Roman" w:hAnsi="Lub Dub Medium" w:cs="Segoe UI"/>
          <w:color w:val="000000"/>
          <w:sz w:val="20"/>
          <w:szCs w:val="20"/>
          <w:lang w:val="en"/>
        </w:rPr>
        <w:t>Yaffe</w:t>
      </w:r>
      <w:proofErr w:type="spellEnd"/>
      <w:r w:rsidRPr="002D692F">
        <w:rPr>
          <w:rFonts w:ascii="Lub Dub Medium" w:eastAsia="Times New Roman" w:hAnsi="Lub Dub Medium" w:cs="Segoe UI"/>
          <w:color w:val="000000"/>
          <w:sz w:val="20"/>
          <w:szCs w:val="20"/>
          <w:lang w:val="en"/>
        </w:rPr>
        <w:t>, Kaiser Permanente Northern Cal, Oakland, CA, San Francisco, CA</w:t>
      </w:r>
    </w:p>
    <w:p w14:paraId="535D242C" w14:textId="77777777" w:rsidR="00365671" w:rsidRPr="002D692F" w:rsidRDefault="00365671" w:rsidP="00266006">
      <w:pPr>
        <w:rPr>
          <w:rFonts w:ascii="Lub Dub Medium" w:hAnsi="Lub Dub Medium"/>
          <w:sz w:val="20"/>
          <w:szCs w:val="20"/>
        </w:rPr>
      </w:pPr>
    </w:p>
    <w:sectPr w:rsidR="00365671" w:rsidRPr="002D6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ub Dub Condensed">
    <w:panose1 w:val="020B0506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E4"/>
    <w:rsid w:val="00114AC4"/>
    <w:rsid w:val="00153C24"/>
    <w:rsid w:val="00266006"/>
    <w:rsid w:val="002D692F"/>
    <w:rsid w:val="00365671"/>
    <w:rsid w:val="004331E3"/>
    <w:rsid w:val="004C4BED"/>
    <w:rsid w:val="00517925"/>
    <w:rsid w:val="0060797F"/>
    <w:rsid w:val="00C217F7"/>
    <w:rsid w:val="00C365E4"/>
    <w:rsid w:val="00D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9B30"/>
  <w15:chartTrackingRefBased/>
  <w15:docId w15:val="{73418F03-EA8D-4E43-948B-00EC6758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5E4"/>
    <w:rPr>
      <w:color w:val="0000FF"/>
      <w:u w:val="single"/>
    </w:rPr>
  </w:style>
  <w:style w:type="paragraph" w:customStyle="1" w:styleId="pf0">
    <w:name w:val="pf0"/>
    <w:basedOn w:val="Normal"/>
    <w:rsid w:val="00153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53C24"/>
    <w:rPr>
      <w:rFonts w:ascii="Segoe UI" w:hAnsi="Segoe UI" w:cs="Segoe UI" w:hint="default"/>
      <w:sz w:val="18"/>
      <w:szCs w:val="18"/>
    </w:rPr>
  </w:style>
  <w:style w:type="character" w:customStyle="1" w:styleId="xmsohyperlink">
    <w:name w:val="x_msohyperlink"/>
    <w:basedOn w:val="DefaultParagraphFont"/>
    <w:rsid w:val="00DD22A6"/>
    <w:rPr>
      <w:color w:val="0563C1"/>
      <w:u w:val="single"/>
    </w:rPr>
  </w:style>
  <w:style w:type="character" w:styleId="UnresolvedMention">
    <w:name w:val="Unresolved Mention"/>
    <w:basedOn w:val="DefaultParagraphFont"/>
    <w:uiPriority w:val="99"/>
    <w:semiHidden/>
    <w:unhideWhenUsed/>
    <w:rsid w:val="00DD2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2386">
      <w:bodyDiv w:val="1"/>
      <w:marLeft w:val="0"/>
      <w:marRight w:val="0"/>
      <w:marTop w:val="0"/>
      <w:marBottom w:val="0"/>
      <w:divBdr>
        <w:top w:val="none" w:sz="0" w:space="0" w:color="auto"/>
        <w:left w:val="none" w:sz="0" w:space="0" w:color="auto"/>
        <w:bottom w:val="none" w:sz="0" w:space="0" w:color="auto"/>
        <w:right w:val="none" w:sz="0" w:space="0" w:color="auto"/>
      </w:divBdr>
    </w:div>
    <w:div w:id="1965192424">
      <w:bodyDiv w:val="1"/>
      <w:marLeft w:val="0"/>
      <w:marRight w:val="0"/>
      <w:marTop w:val="0"/>
      <w:marBottom w:val="0"/>
      <w:divBdr>
        <w:top w:val="none" w:sz="0" w:space="0" w:color="auto"/>
        <w:left w:val="none" w:sz="0" w:space="0" w:color="auto"/>
        <w:bottom w:val="none" w:sz="0" w:space="0" w:color="auto"/>
        <w:right w:val="none" w:sz="0" w:space="0" w:color="auto"/>
      </w:divBdr>
      <w:divsChild>
        <w:div w:id="556017881">
          <w:marLeft w:val="0"/>
          <w:marRight w:val="0"/>
          <w:marTop w:val="0"/>
          <w:marBottom w:val="0"/>
          <w:divBdr>
            <w:top w:val="none" w:sz="0" w:space="0" w:color="auto"/>
            <w:left w:val="none" w:sz="0" w:space="0" w:color="auto"/>
            <w:bottom w:val="none" w:sz="0" w:space="0" w:color="auto"/>
            <w:right w:val="none" w:sz="0" w:space="0" w:color="auto"/>
          </w:divBdr>
          <w:divsChild>
            <w:div w:id="600184339">
              <w:marLeft w:val="0"/>
              <w:marRight w:val="0"/>
              <w:marTop w:val="0"/>
              <w:marBottom w:val="0"/>
              <w:divBdr>
                <w:top w:val="none" w:sz="0" w:space="0" w:color="auto"/>
                <w:left w:val="none" w:sz="0" w:space="0" w:color="auto"/>
                <w:bottom w:val="none" w:sz="0" w:space="0" w:color="auto"/>
                <w:right w:val="none" w:sz="0" w:space="0" w:color="auto"/>
              </w:divBdr>
            </w:div>
          </w:divsChild>
        </w:div>
        <w:div w:id="330105928">
          <w:marLeft w:val="0"/>
          <w:marRight w:val="0"/>
          <w:marTop w:val="0"/>
          <w:marBottom w:val="0"/>
          <w:divBdr>
            <w:top w:val="none" w:sz="0" w:space="0" w:color="auto"/>
            <w:left w:val="none" w:sz="0" w:space="0" w:color="auto"/>
            <w:bottom w:val="none" w:sz="0" w:space="0" w:color="auto"/>
            <w:right w:val="none" w:sz="0" w:space="0" w:color="auto"/>
          </w:divBdr>
        </w:div>
        <w:div w:id="1319382885">
          <w:marLeft w:val="0"/>
          <w:marRight w:val="0"/>
          <w:marTop w:val="0"/>
          <w:marBottom w:val="0"/>
          <w:divBdr>
            <w:top w:val="none" w:sz="0" w:space="0" w:color="auto"/>
            <w:left w:val="none" w:sz="0" w:space="0" w:color="auto"/>
            <w:bottom w:val="none" w:sz="0" w:space="0" w:color="auto"/>
            <w:right w:val="none" w:sz="0" w:space="0" w:color="auto"/>
          </w:divBdr>
        </w:div>
        <w:div w:id="1197692756">
          <w:marLeft w:val="0"/>
          <w:marRight w:val="0"/>
          <w:marTop w:val="0"/>
          <w:marBottom w:val="0"/>
          <w:divBdr>
            <w:top w:val="none" w:sz="0" w:space="0" w:color="auto"/>
            <w:left w:val="none" w:sz="0" w:space="0" w:color="auto"/>
            <w:bottom w:val="none" w:sz="0" w:space="0" w:color="auto"/>
            <w:right w:val="none" w:sz="0" w:space="0" w:color="auto"/>
          </w:divBdr>
        </w:div>
        <w:div w:id="172115949">
          <w:marLeft w:val="0"/>
          <w:marRight w:val="0"/>
          <w:marTop w:val="0"/>
          <w:marBottom w:val="0"/>
          <w:divBdr>
            <w:top w:val="none" w:sz="0" w:space="0" w:color="auto"/>
            <w:left w:val="none" w:sz="0" w:space="0" w:color="auto"/>
            <w:bottom w:val="none" w:sz="0" w:space="0" w:color="auto"/>
            <w:right w:val="none" w:sz="0" w:space="0" w:color="auto"/>
          </w:divBdr>
        </w:div>
        <w:div w:id="1616407783">
          <w:marLeft w:val="0"/>
          <w:marRight w:val="0"/>
          <w:marTop w:val="0"/>
          <w:marBottom w:val="0"/>
          <w:divBdr>
            <w:top w:val="none" w:sz="0" w:space="0" w:color="auto"/>
            <w:left w:val="none" w:sz="0" w:space="0" w:color="auto"/>
            <w:bottom w:val="none" w:sz="0" w:space="0" w:color="auto"/>
            <w:right w:val="none" w:sz="0" w:space="0" w:color="auto"/>
          </w:divBdr>
        </w:div>
        <w:div w:id="2056928837">
          <w:marLeft w:val="0"/>
          <w:marRight w:val="0"/>
          <w:marTop w:val="0"/>
          <w:marBottom w:val="0"/>
          <w:divBdr>
            <w:top w:val="none" w:sz="0" w:space="0" w:color="auto"/>
            <w:left w:val="none" w:sz="0" w:space="0" w:color="auto"/>
            <w:bottom w:val="none" w:sz="0" w:space="0" w:color="auto"/>
            <w:right w:val="none" w:sz="0" w:space="0" w:color="auto"/>
          </w:divBdr>
        </w:div>
        <w:div w:id="1996640468">
          <w:marLeft w:val="0"/>
          <w:marRight w:val="0"/>
          <w:marTop w:val="0"/>
          <w:marBottom w:val="0"/>
          <w:divBdr>
            <w:top w:val="none" w:sz="0" w:space="0" w:color="auto"/>
            <w:left w:val="none" w:sz="0" w:space="0" w:color="auto"/>
            <w:bottom w:val="none" w:sz="0" w:space="0" w:color="auto"/>
            <w:right w:val="none" w:sz="0" w:space="0" w:color="auto"/>
          </w:divBdr>
        </w:div>
        <w:div w:id="464784414">
          <w:marLeft w:val="0"/>
          <w:marRight w:val="0"/>
          <w:marTop w:val="0"/>
          <w:marBottom w:val="0"/>
          <w:divBdr>
            <w:top w:val="none" w:sz="0" w:space="0" w:color="auto"/>
            <w:left w:val="none" w:sz="0" w:space="0" w:color="auto"/>
            <w:bottom w:val="none" w:sz="0" w:space="0" w:color="auto"/>
            <w:right w:val="none" w:sz="0" w:space="0" w:color="auto"/>
          </w:divBdr>
          <w:divsChild>
            <w:div w:id="1702315514">
              <w:marLeft w:val="0"/>
              <w:marRight w:val="0"/>
              <w:marTop w:val="0"/>
              <w:marBottom w:val="0"/>
              <w:divBdr>
                <w:top w:val="none" w:sz="0" w:space="0" w:color="auto"/>
                <w:left w:val="none" w:sz="0" w:space="0" w:color="auto"/>
                <w:bottom w:val="none" w:sz="0" w:space="0" w:color="auto"/>
                <w:right w:val="none" w:sz="0" w:space="0" w:color="auto"/>
              </w:divBdr>
            </w:div>
          </w:divsChild>
        </w:div>
        <w:div w:id="371611413">
          <w:marLeft w:val="0"/>
          <w:marRight w:val="0"/>
          <w:marTop w:val="0"/>
          <w:marBottom w:val="0"/>
          <w:divBdr>
            <w:top w:val="none" w:sz="0" w:space="0" w:color="auto"/>
            <w:left w:val="none" w:sz="0" w:space="0" w:color="auto"/>
            <w:bottom w:val="none" w:sz="0" w:space="0" w:color="auto"/>
            <w:right w:val="none" w:sz="0" w:space="0" w:color="auto"/>
          </w:divBdr>
          <w:divsChild>
            <w:div w:id="1064833539">
              <w:marLeft w:val="0"/>
              <w:marRight w:val="0"/>
              <w:marTop w:val="0"/>
              <w:marBottom w:val="0"/>
              <w:divBdr>
                <w:top w:val="none" w:sz="0" w:space="0" w:color="auto"/>
                <w:left w:val="none" w:sz="0" w:space="0" w:color="auto"/>
                <w:bottom w:val="none" w:sz="0" w:space="0" w:color="auto"/>
                <w:right w:val="none" w:sz="0" w:space="0" w:color="auto"/>
              </w:divBdr>
              <w:divsChild>
                <w:div w:id="14860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56829">
          <w:marLeft w:val="0"/>
          <w:marRight w:val="0"/>
          <w:marTop w:val="0"/>
          <w:marBottom w:val="0"/>
          <w:divBdr>
            <w:top w:val="none" w:sz="0" w:space="0" w:color="auto"/>
            <w:left w:val="none" w:sz="0" w:space="0" w:color="auto"/>
            <w:bottom w:val="none" w:sz="0" w:space="0" w:color="auto"/>
            <w:right w:val="none" w:sz="0" w:space="0" w:color="auto"/>
          </w:divBdr>
        </w:div>
        <w:div w:id="1091705809">
          <w:marLeft w:val="0"/>
          <w:marRight w:val="0"/>
          <w:marTop w:val="0"/>
          <w:marBottom w:val="0"/>
          <w:divBdr>
            <w:top w:val="none" w:sz="0" w:space="0" w:color="auto"/>
            <w:left w:val="none" w:sz="0" w:space="0" w:color="auto"/>
            <w:bottom w:val="none" w:sz="0" w:space="0" w:color="auto"/>
            <w:right w:val="none" w:sz="0" w:space="0" w:color="auto"/>
          </w:divBdr>
          <w:divsChild>
            <w:div w:id="1175150974">
              <w:marLeft w:val="0"/>
              <w:marRight w:val="0"/>
              <w:marTop w:val="0"/>
              <w:marBottom w:val="0"/>
              <w:divBdr>
                <w:top w:val="none" w:sz="0" w:space="0" w:color="auto"/>
                <w:left w:val="none" w:sz="0" w:space="0" w:color="auto"/>
                <w:bottom w:val="none" w:sz="0" w:space="0" w:color="auto"/>
                <w:right w:val="none" w:sz="0" w:space="0" w:color="auto"/>
              </w:divBdr>
            </w:div>
          </w:divsChild>
        </w:div>
        <w:div w:id="1961262821">
          <w:marLeft w:val="0"/>
          <w:marRight w:val="0"/>
          <w:marTop w:val="0"/>
          <w:marBottom w:val="0"/>
          <w:divBdr>
            <w:top w:val="none" w:sz="0" w:space="0" w:color="auto"/>
            <w:left w:val="none" w:sz="0" w:space="0" w:color="auto"/>
            <w:bottom w:val="none" w:sz="0" w:space="0" w:color="auto"/>
            <w:right w:val="none" w:sz="0" w:space="0" w:color="auto"/>
          </w:divBdr>
          <w:divsChild>
            <w:div w:id="848374673">
              <w:marLeft w:val="0"/>
              <w:marRight w:val="0"/>
              <w:marTop w:val="0"/>
              <w:marBottom w:val="0"/>
              <w:divBdr>
                <w:top w:val="none" w:sz="0" w:space="0" w:color="auto"/>
                <w:left w:val="none" w:sz="0" w:space="0" w:color="auto"/>
                <w:bottom w:val="none" w:sz="0" w:space="0" w:color="auto"/>
                <w:right w:val="none" w:sz="0" w:space="0" w:color="auto"/>
              </w:divBdr>
              <w:divsChild>
                <w:div w:id="6097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4614">
          <w:marLeft w:val="0"/>
          <w:marRight w:val="0"/>
          <w:marTop w:val="0"/>
          <w:marBottom w:val="0"/>
          <w:divBdr>
            <w:top w:val="none" w:sz="0" w:space="0" w:color="auto"/>
            <w:left w:val="none" w:sz="0" w:space="0" w:color="auto"/>
            <w:bottom w:val="none" w:sz="0" w:space="0" w:color="auto"/>
            <w:right w:val="none" w:sz="0" w:space="0" w:color="auto"/>
          </w:divBdr>
        </w:div>
        <w:div w:id="225726729">
          <w:marLeft w:val="0"/>
          <w:marRight w:val="0"/>
          <w:marTop w:val="0"/>
          <w:marBottom w:val="0"/>
          <w:divBdr>
            <w:top w:val="none" w:sz="0" w:space="0" w:color="auto"/>
            <w:left w:val="none" w:sz="0" w:space="0" w:color="auto"/>
            <w:bottom w:val="none" w:sz="0" w:space="0" w:color="auto"/>
            <w:right w:val="none" w:sz="0" w:space="0" w:color="auto"/>
          </w:divBdr>
          <w:divsChild>
            <w:div w:id="8841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abstractsonline.com/CTRL/79/5/8CE/BFC/9B8/4C7/7BD/B91/1AC/0C5/4E6/94/g278_1.PNG" TargetMode="External"/><Relationship Id="rId3" Type="http://schemas.openxmlformats.org/officeDocument/2006/relationships/webSettings" Target="webSettings.xml"/><Relationship Id="rId7" Type="http://schemas.openxmlformats.org/officeDocument/2006/relationships/hyperlink" Target="mailto:rdoughe7@jh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bq3@cumc.columbia.edu" TargetMode="External"/><Relationship Id="rId11" Type="http://schemas.openxmlformats.org/officeDocument/2006/relationships/theme" Target="theme/theme1.xml"/><Relationship Id="rId5" Type="http://schemas.openxmlformats.org/officeDocument/2006/relationships/hyperlink" Target="mailto:echolsh@uab.edu"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Astle</dc:creator>
  <cp:keywords/>
  <dc:description/>
  <cp:lastModifiedBy>Cathy Lewis</cp:lastModifiedBy>
  <cp:revision>11</cp:revision>
  <dcterms:created xsi:type="dcterms:W3CDTF">2021-05-11T20:47:00Z</dcterms:created>
  <dcterms:modified xsi:type="dcterms:W3CDTF">2021-05-21T02:08:00Z</dcterms:modified>
</cp:coreProperties>
</file>